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3348"/>
        <w:gridCol w:w="5508"/>
      </w:tblGrid>
      <w:tr w:rsidR="00E338F1" w14:paraId="585832AB" w14:textId="77777777">
        <w:tc>
          <w:tcPr>
            <w:tcW w:w="3348" w:type="dxa"/>
          </w:tcPr>
          <w:p w14:paraId="7B6D2D10" w14:textId="77777777" w:rsidR="00E338F1" w:rsidRPr="003164D9" w:rsidRDefault="00E338F1" w:rsidP="00E338F1">
            <w:pPr>
              <w:rPr>
                <w:b/>
              </w:rPr>
            </w:pPr>
            <w:r w:rsidRPr="003164D9">
              <w:rPr>
                <w:b/>
              </w:rPr>
              <w:t>Reported by (Name):</w:t>
            </w:r>
          </w:p>
          <w:p w14:paraId="2666AD42" w14:textId="77777777" w:rsidR="00E338F1" w:rsidRDefault="00E338F1">
            <w:pPr>
              <w:rPr>
                <w:b/>
              </w:rPr>
            </w:pPr>
          </w:p>
        </w:tc>
        <w:tc>
          <w:tcPr>
            <w:tcW w:w="5508" w:type="dxa"/>
          </w:tcPr>
          <w:p w14:paraId="4C118CED" w14:textId="3EC9DCAB" w:rsidR="00E338F1" w:rsidRDefault="00F66E40">
            <w:pPr>
              <w:rPr>
                <w:b/>
              </w:rPr>
            </w:pPr>
            <w:r>
              <w:rPr>
                <w:b/>
              </w:rPr>
              <w:t>Geoffrey S. Ibbott, Ph.D.</w:t>
            </w:r>
          </w:p>
        </w:tc>
      </w:tr>
      <w:tr w:rsidR="00E338F1" w14:paraId="72B990EA" w14:textId="77777777">
        <w:tc>
          <w:tcPr>
            <w:tcW w:w="3348" w:type="dxa"/>
          </w:tcPr>
          <w:p w14:paraId="4A9CAA67" w14:textId="77777777" w:rsidR="00E338F1" w:rsidRPr="003164D9" w:rsidRDefault="00E338F1" w:rsidP="00E338F1">
            <w:pPr>
              <w:rPr>
                <w:b/>
              </w:rPr>
            </w:pPr>
            <w:r w:rsidRPr="003164D9">
              <w:rPr>
                <w:b/>
              </w:rPr>
              <w:t xml:space="preserve">Organization: </w:t>
            </w:r>
          </w:p>
          <w:p w14:paraId="77421AEA" w14:textId="77777777" w:rsidR="00E338F1" w:rsidRDefault="00E338F1">
            <w:pPr>
              <w:rPr>
                <w:b/>
              </w:rPr>
            </w:pPr>
          </w:p>
        </w:tc>
        <w:tc>
          <w:tcPr>
            <w:tcW w:w="5508" w:type="dxa"/>
          </w:tcPr>
          <w:p w14:paraId="3E0F799F" w14:textId="639123FF" w:rsidR="00E338F1" w:rsidRDefault="00F66E40">
            <w:pPr>
              <w:rPr>
                <w:b/>
              </w:rPr>
            </w:pPr>
            <w:r>
              <w:rPr>
                <w:b/>
              </w:rPr>
              <w:t>International Electrotechnical Commission</w:t>
            </w:r>
          </w:p>
        </w:tc>
      </w:tr>
      <w:tr w:rsidR="00E338F1" w14:paraId="4AD44D1F" w14:textId="77777777">
        <w:tc>
          <w:tcPr>
            <w:tcW w:w="3348" w:type="dxa"/>
          </w:tcPr>
          <w:p w14:paraId="53F95E23" w14:textId="77777777" w:rsidR="00E338F1" w:rsidRPr="003164D9" w:rsidRDefault="00E338F1" w:rsidP="00E338F1">
            <w:pPr>
              <w:rPr>
                <w:b/>
              </w:rPr>
            </w:pPr>
            <w:r w:rsidRPr="003164D9">
              <w:rPr>
                <w:b/>
              </w:rPr>
              <w:t>Position Title:</w:t>
            </w:r>
          </w:p>
          <w:p w14:paraId="209D4BBE" w14:textId="77777777" w:rsidR="00E338F1" w:rsidRDefault="00E338F1">
            <w:pPr>
              <w:rPr>
                <w:b/>
              </w:rPr>
            </w:pPr>
          </w:p>
        </w:tc>
        <w:tc>
          <w:tcPr>
            <w:tcW w:w="5508" w:type="dxa"/>
          </w:tcPr>
          <w:p w14:paraId="4D6F887F" w14:textId="3B4B6D1C" w:rsidR="00E338F1" w:rsidRDefault="00F66E40">
            <w:pPr>
              <w:rPr>
                <w:b/>
              </w:rPr>
            </w:pPr>
            <w:r>
              <w:rPr>
                <w:b/>
              </w:rPr>
              <w:t>Convenor, 62C/Working Group 1, US Technical Advisor and Chair, 62C TAG</w:t>
            </w:r>
          </w:p>
        </w:tc>
      </w:tr>
      <w:tr w:rsidR="00E338F1" w14:paraId="640B9F72" w14:textId="77777777">
        <w:tc>
          <w:tcPr>
            <w:tcW w:w="3348" w:type="dxa"/>
          </w:tcPr>
          <w:p w14:paraId="4D9F880F" w14:textId="77777777" w:rsidR="00E338F1" w:rsidRPr="003164D9" w:rsidRDefault="00E338F1" w:rsidP="00E338F1">
            <w:pPr>
              <w:rPr>
                <w:b/>
              </w:rPr>
            </w:pPr>
            <w:r w:rsidRPr="003164D9">
              <w:rPr>
                <w:b/>
              </w:rPr>
              <w:t>Activity:</w:t>
            </w:r>
          </w:p>
          <w:p w14:paraId="7C339391" w14:textId="77777777" w:rsidR="00E338F1" w:rsidRDefault="00E338F1">
            <w:pPr>
              <w:rPr>
                <w:b/>
              </w:rPr>
            </w:pPr>
          </w:p>
        </w:tc>
        <w:tc>
          <w:tcPr>
            <w:tcW w:w="5508" w:type="dxa"/>
          </w:tcPr>
          <w:p w14:paraId="61B125FF" w14:textId="25A8B269" w:rsidR="00E338F1" w:rsidRDefault="00F66E40">
            <w:pPr>
              <w:rPr>
                <w:b/>
              </w:rPr>
            </w:pPr>
            <w:r>
              <w:rPr>
                <w:b/>
              </w:rPr>
              <w:t>Meeting of 62C</w:t>
            </w:r>
            <w:r w:rsidR="00A956AB">
              <w:rPr>
                <w:b/>
              </w:rPr>
              <w:t>/Working group 1</w:t>
            </w:r>
          </w:p>
        </w:tc>
      </w:tr>
      <w:tr w:rsidR="00E338F1" w14:paraId="26619CE6" w14:textId="77777777">
        <w:trPr>
          <w:trHeight w:val="260"/>
        </w:trPr>
        <w:tc>
          <w:tcPr>
            <w:tcW w:w="3348" w:type="dxa"/>
          </w:tcPr>
          <w:p w14:paraId="2CF0C343" w14:textId="77777777" w:rsidR="00E338F1" w:rsidRPr="003164D9" w:rsidRDefault="00E338F1" w:rsidP="00E338F1">
            <w:pPr>
              <w:rPr>
                <w:b/>
              </w:rPr>
            </w:pPr>
            <w:r w:rsidRPr="003164D9">
              <w:rPr>
                <w:b/>
              </w:rPr>
              <w:t>Meeting Dates:</w:t>
            </w:r>
          </w:p>
          <w:p w14:paraId="2B7FBBEE" w14:textId="77777777" w:rsidR="00E338F1" w:rsidRDefault="00E338F1">
            <w:pPr>
              <w:rPr>
                <w:b/>
              </w:rPr>
            </w:pPr>
          </w:p>
        </w:tc>
        <w:tc>
          <w:tcPr>
            <w:tcW w:w="5508" w:type="dxa"/>
          </w:tcPr>
          <w:p w14:paraId="5E596417" w14:textId="3A9B7F42" w:rsidR="00E338F1" w:rsidRDefault="006B7ED0">
            <w:pPr>
              <w:rPr>
                <w:b/>
              </w:rPr>
            </w:pPr>
            <w:r>
              <w:rPr>
                <w:b/>
              </w:rPr>
              <w:t>April 5-9, 2025</w:t>
            </w:r>
          </w:p>
        </w:tc>
      </w:tr>
      <w:tr w:rsidR="00E338F1" w14:paraId="69173148" w14:textId="77777777">
        <w:tc>
          <w:tcPr>
            <w:tcW w:w="3348" w:type="dxa"/>
          </w:tcPr>
          <w:p w14:paraId="09CCF588" w14:textId="77777777" w:rsidR="00E338F1" w:rsidRPr="003164D9" w:rsidRDefault="00E338F1" w:rsidP="00E338F1">
            <w:pPr>
              <w:rPr>
                <w:b/>
              </w:rPr>
            </w:pPr>
            <w:r w:rsidRPr="003164D9">
              <w:rPr>
                <w:b/>
              </w:rPr>
              <w:t>Meeting Location:</w:t>
            </w:r>
          </w:p>
          <w:p w14:paraId="16F40AF2" w14:textId="77777777" w:rsidR="00E338F1" w:rsidRDefault="00E338F1">
            <w:pPr>
              <w:rPr>
                <w:b/>
              </w:rPr>
            </w:pPr>
          </w:p>
        </w:tc>
        <w:tc>
          <w:tcPr>
            <w:tcW w:w="5508" w:type="dxa"/>
          </w:tcPr>
          <w:p w14:paraId="2B54A3A8" w14:textId="592E750B" w:rsidR="00E338F1" w:rsidRDefault="006B7ED0">
            <w:pPr>
              <w:rPr>
                <w:b/>
              </w:rPr>
            </w:pPr>
            <w:r>
              <w:rPr>
                <w:b/>
              </w:rPr>
              <w:t>NEMA</w:t>
            </w:r>
            <w:r w:rsidR="00F66E40">
              <w:rPr>
                <w:b/>
              </w:rPr>
              <w:t xml:space="preserve"> Headquarters, </w:t>
            </w:r>
            <w:r>
              <w:rPr>
                <w:b/>
              </w:rPr>
              <w:t>Arlington</w:t>
            </w:r>
            <w:r w:rsidR="00F66E40">
              <w:rPr>
                <w:b/>
              </w:rPr>
              <w:t>, VA</w:t>
            </w:r>
          </w:p>
        </w:tc>
      </w:tr>
      <w:tr w:rsidR="00E338F1" w14:paraId="000534C5" w14:textId="77777777">
        <w:tc>
          <w:tcPr>
            <w:tcW w:w="3348" w:type="dxa"/>
          </w:tcPr>
          <w:p w14:paraId="39CA7B69" w14:textId="77777777" w:rsidR="00E338F1" w:rsidRPr="003164D9" w:rsidRDefault="00E338F1" w:rsidP="00E338F1">
            <w:pPr>
              <w:rPr>
                <w:b/>
              </w:rPr>
            </w:pPr>
            <w:r w:rsidRPr="003164D9">
              <w:rPr>
                <w:b/>
              </w:rPr>
              <w:t>Payment $:</w:t>
            </w:r>
          </w:p>
          <w:p w14:paraId="27ED4656" w14:textId="77777777" w:rsidR="00E338F1" w:rsidRDefault="00E338F1">
            <w:pPr>
              <w:rPr>
                <w:b/>
              </w:rPr>
            </w:pPr>
          </w:p>
        </w:tc>
        <w:tc>
          <w:tcPr>
            <w:tcW w:w="5508" w:type="dxa"/>
          </w:tcPr>
          <w:p w14:paraId="54B006E4" w14:textId="3729AE37" w:rsidR="00E338F1" w:rsidRDefault="006B7ED0">
            <w:pPr>
              <w:rPr>
                <w:b/>
              </w:rPr>
            </w:pPr>
            <w:r>
              <w:rPr>
                <w:b/>
              </w:rPr>
              <w:t>None</w:t>
            </w:r>
          </w:p>
        </w:tc>
      </w:tr>
      <w:tr w:rsidR="00E338F1" w14:paraId="2A80CFB6" w14:textId="77777777">
        <w:tc>
          <w:tcPr>
            <w:tcW w:w="3348" w:type="dxa"/>
          </w:tcPr>
          <w:p w14:paraId="62C6182C" w14:textId="77777777" w:rsidR="00E338F1" w:rsidRPr="003164D9" w:rsidRDefault="00E338F1" w:rsidP="00E338F1">
            <w:pPr>
              <w:rPr>
                <w:b/>
              </w:rPr>
            </w:pPr>
            <w:r w:rsidRPr="003164D9">
              <w:rPr>
                <w:b/>
              </w:rPr>
              <w:t>Reasons for Attending or not Attending</w:t>
            </w:r>
          </w:p>
          <w:p w14:paraId="649A2913" w14:textId="77777777" w:rsidR="00E338F1" w:rsidRDefault="00E338F1">
            <w:pPr>
              <w:rPr>
                <w:b/>
              </w:rPr>
            </w:pPr>
          </w:p>
        </w:tc>
        <w:tc>
          <w:tcPr>
            <w:tcW w:w="5508" w:type="dxa"/>
          </w:tcPr>
          <w:p w14:paraId="0926A47C" w14:textId="7A138BAA" w:rsidR="00E338F1" w:rsidRDefault="00F66E40">
            <w:pPr>
              <w:rPr>
                <w:b/>
              </w:rPr>
            </w:pPr>
            <w:r>
              <w:rPr>
                <w:b/>
              </w:rPr>
              <w:t xml:space="preserve">Attended as </w:t>
            </w:r>
            <w:r w:rsidR="006B7ED0">
              <w:rPr>
                <w:b/>
              </w:rPr>
              <w:t>convenor</w:t>
            </w:r>
            <w:r>
              <w:rPr>
                <w:b/>
              </w:rPr>
              <w:t xml:space="preserve"> of the </w:t>
            </w:r>
            <w:r w:rsidR="006B7ED0">
              <w:rPr>
                <w:b/>
              </w:rPr>
              <w:t>Working Group</w:t>
            </w:r>
            <w:r>
              <w:rPr>
                <w:b/>
              </w:rPr>
              <w:t>.</w:t>
            </w:r>
          </w:p>
        </w:tc>
      </w:tr>
      <w:tr w:rsidR="00E338F1" w14:paraId="22926600" w14:textId="77777777">
        <w:tc>
          <w:tcPr>
            <w:tcW w:w="3348" w:type="dxa"/>
          </w:tcPr>
          <w:p w14:paraId="2AAD4878" w14:textId="77777777" w:rsidR="00E338F1" w:rsidRPr="003164D9" w:rsidRDefault="00E338F1" w:rsidP="00E338F1">
            <w:pPr>
              <w:rPr>
                <w:b/>
              </w:rPr>
            </w:pPr>
            <w:r w:rsidRPr="003164D9">
              <w:rPr>
                <w:b/>
              </w:rPr>
              <w:t>Issues from Previous Meetings or Year:</w:t>
            </w:r>
          </w:p>
          <w:p w14:paraId="54C1E4C8" w14:textId="77777777" w:rsidR="00E338F1" w:rsidRDefault="00E338F1">
            <w:pPr>
              <w:rPr>
                <w:b/>
              </w:rPr>
            </w:pPr>
          </w:p>
        </w:tc>
        <w:tc>
          <w:tcPr>
            <w:tcW w:w="5508" w:type="dxa"/>
          </w:tcPr>
          <w:p w14:paraId="2D72A78C" w14:textId="08E72764" w:rsidR="00E338F1" w:rsidRDefault="00F66E40">
            <w:pPr>
              <w:rPr>
                <w:b/>
              </w:rPr>
            </w:pPr>
            <w:r>
              <w:rPr>
                <w:b/>
              </w:rPr>
              <w:t>Several documents have been under review for some time.</w:t>
            </w:r>
          </w:p>
        </w:tc>
      </w:tr>
      <w:tr w:rsidR="00E338F1" w14:paraId="01AF0546" w14:textId="77777777">
        <w:tc>
          <w:tcPr>
            <w:tcW w:w="3348" w:type="dxa"/>
          </w:tcPr>
          <w:p w14:paraId="655FD40E" w14:textId="77777777" w:rsidR="00E338F1" w:rsidRPr="003164D9" w:rsidRDefault="00E338F1" w:rsidP="00E338F1">
            <w:pPr>
              <w:rPr>
                <w:b/>
              </w:rPr>
            </w:pPr>
            <w:r w:rsidRPr="003164D9">
              <w:rPr>
                <w:b/>
              </w:rPr>
              <w:t>General Description of Activities of the Organization and/or Meeting:</w:t>
            </w:r>
          </w:p>
          <w:p w14:paraId="285716EC" w14:textId="77777777" w:rsidR="00E338F1" w:rsidRDefault="00E338F1">
            <w:pPr>
              <w:rPr>
                <w:b/>
              </w:rPr>
            </w:pPr>
          </w:p>
        </w:tc>
        <w:tc>
          <w:tcPr>
            <w:tcW w:w="5508" w:type="dxa"/>
          </w:tcPr>
          <w:p w14:paraId="30171C8C" w14:textId="5AE1FE94" w:rsidR="00E338F1" w:rsidRDefault="00F66E40">
            <w:pPr>
              <w:rPr>
                <w:b/>
              </w:rPr>
            </w:pPr>
            <w:r>
              <w:rPr>
                <w:b/>
              </w:rPr>
              <w:t xml:space="preserve">International standards development. </w:t>
            </w:r>
          </w:p>
        </w:tc>
      </w:tr>
      <w:tr w:rsidR="00E338F1" w14:paraId="3921AFA4" w14:textId="77777777">
        <w:tc>
          <w:tcPr>
            <w:tcW w:w="3348" w:type="dxa"/>
          </w:tcPr>
          <w:p w14:paraId="3269FCD0" w14:textId="77777777" w:rsidR="00E338F1" w:rsidRPr="003164D9" w:rsidRDefault="00E338F1" w:rsidP="00E338F1">
            <w:pPr>
              <w:rPr>
                <w:b/>
              </w:rPr>
            </w:pPr>
            <w:r w:rsidRPr="003164D9">
              <w:rPr>
                <w:b/>
              </w:rPr>
              <w:t>Issues for AAPM:</w:t>
            </w:r>
          </w:p>
          <w:p w14:paraId="27147BC0" w14:textId="77777777" w:rsidR="00E338F1" w:rsidRDefault="00E338F1">
            <w:pPr>
              <w:rPr>
                <w:b/>
              </w:rPr>
            </w:pPr>
          </w:p>
        </w:tc>
        <w:tc>
          <w:tcPr>
            <w:tcW w:w="5508" w:type="dxa"/>
          </w:tcPr>
          <w:p w14:paraId="57DC4A78" w14:textId="74842DC1" w:rsidR="00E338F1" w:rsidRDefault="00F66E40">
            <w:pPr>
              <w:rPr>
                <w:b/>
              </w:rPr>
            </w:pPr>
            <w:r>
              <w:rPr>
                <w:b/>
              </w:rPr>
              <w:t>None</w:t>
            </w:r>
          </w:p>
        </w:tc>
      </w:tr>
      <w:tr w:rsidR="00E338F1" w14:paraId="31B13AF2" w14:textId="77777777">
        <w:tc>
          <w:tcPr>
            <w:tcW w:w="3348" w:type="dxa"/>
          </w:tcPr>
          <w:p w14:paraId="5C5BFC72" w14:textId="77777777" w:rsidR="00E338F1" w:rsidRPr="003164D9" w:rsidRDefault="00E338F1" w:rsidP="00E338F1">
            <w:pPr>
              <w:rPr>
                <w:b/>
              </w:rPr>
            </w:pPr>
            <w:r w:rsidRPr="003164D9">
              <w:rPr>
                <w:b/>
              </w:rPr>
              <w:t>Budget Request ($):</w:t>
            </w:r>
          </w:p>
          <w:p w14:paraId="4FF08166" w14:textId="77777777" w:rsidR="00E338F1" w:rsidRDefault="00E338F1">
            <w:pPr>
              <w:rPr>
                <w:b/>
              </w:rPr>
            </w:pPr>
          </w:p>
        </w:tc>
        <w:tc>
          <w:tcPr>
            <w:tcW w:w="5508" w:type="dxa"/>
          </w:tcPr>
          <w:p w14:paraId="58A0F3AE" w14:textId="1B13B98D" w:rsidR="00E338F1" w:rsidRDefault="00F66E40">
            <w:pPr>
              <w:rPr>
                <w:b/>
              </w:rPr>
            </w:pPr>
            <w:r>
              <w:rPr>
                <w:b/>
              </w:rPr>
              <w:t>See annual budget</w:t>
            </w:r>
          </w:p>
        </w:tc>
      </w:tr>
    </w:tbl>
    <w:p w14:paraId="772F1C7E" w14:textId="77777777" w:rsidR="003164D9" w:rsidRPr="003164D9" w:rsidRDefault="003164D9">
      <w:pPr>
        <w:rPr>
          <w:b/>
        </w:rPr>
      </w:pPr>
    </w:p>
    <w:p w14:paraId="65651205" w14:textId="77777777" w:rsidR="003164D9" w:rsidRPr="003164D9" w:rsidRDefault="003164D9">
      <w:pPr>
        <w:rPr>
          <w:b/>
        </w:rPr>
      </w:pPr>
    </w:p>
    <w:tbl>
      <w:tblPr>
        <w:tblW w:w="0" w:type="auto"/>
        <w:tblLayout w:type="fixed"/>
        <w:tblCellMar>
          <w:left w:w="70" w:type="dxa"/>
          <w:right w:w="70" w:type="dxa"/>
        </w:tblCellMar>
        <w:tblLook w:val="0000" w:firstRow="0" w:lastRow="0" w:firstColumn="0" w:lastColumn="0" w:noHBand="0" w:noVBand="0"/>
      </w:tblPr>
      <w:tblGrid>
        <w:gridCol w:w="5032"/>
        <w:gridCol w:w="4677"/>
      </w:tblGrid>
      <w:tr w:rsidR="006B7ED0" w14:paraId="32F81708" w14:textId="77777777" w:rsidTr="00CA1D41">
        <w:tc>
          <w:tcPr>
            <w:tcW w:w="5032" w:type="dxa"/>
          </w:tcPr>
          <w:p w14:paraId="399C4CE0" w14:textId="77777777" w:rsidR="006B7ED0" w:rsidRDefault="006B7ED0" w:rsidP="00CA1D41">
            <w:pPr>
              <w:tabs>
                <w:tab w:val="left" w:pos="1134"/>
              </w:tabs>
            </w:pPr>
            <w:r>
              <w:rPr>
                <w:noProof/>
                <w:lang w:eastAsia="en-GB"/>
              </w:rPr>
              <w:drawing>
                <wp:inline distT="0" distB="0" distL="0" distR="0" wp14:anchorId="66A9375F" wp14:editId="04BE2CC7">
                  <wp:extent cx="745363" cy="646266"/>
                  <wp:effectExtent l="0" t="0" r="0" b="1905"/>
                  <wp:docPr id="7" name="Picture 7" descr="C:\Users\sn\OneDrive - IEC\coordination\template\iec_logo_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neDrive - IEC\coordination\template\iec_logo_100p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467" cy="648090"/>
                          </a:xfrm>
                          <a:prstGeom prst="rect">
                            <a:avLst/>
                          </a:prstGeom>
                          <a:noFill/>
                          <a:ln>
                            <a:noFill/>
                          </a:ln>
                        </pic:spPr>
                      </pic:pic>
                    </a:graphicData>
                  </a:graphic>
                </wp:inline>
              </w:drawing>
            </w:r>
          </w:p>
        </w:tc>
        <w:tc>
          <w:tcPr>
            <w:tcW w:w="4677" w:type="dxa"/>
          </w:tcPr>
          <w:p w14:paraId="3C3E0950" w14:textId="77777777" w:rsidR="006B7ED0" w:rsidRDefault="006B7ED0" w:rsidP="00CA1D41">
            <w:pPr>
              <w:tabs>
                <w:tab w:val="right" w:pos="4324"/>
              </w:tabs>
              <w:spacing w:line="320" w:lineRule="exact"/>
              <w:ind w:left="71" w:right="74"/>
              <w:rPr>
                <w:b/>
                <w:sz w:val="22"/>
              </w:rPr>
            </w:pPr>
          </w:p>
        </w:tc>
      </w:tr>
    </w:tbl>
    <w:p w14:paraId="729866FE" w14:textId="77777777" w:rsidR="006B7ED0" w:rsidRDefault="006B7ED0" w:rsidP="006B7ED0">
      <w:pPr>
        <w:tabs>
          <w:tab w:val="left" w:pos="1134"/>
        </w:tabs>
      </w:pPr>
    </w:p>
    <w:p w14:paraId="5BB41D5A" w14:textId="77777777" w:rsidR="006B7ED0" w:rsidRDefault="006B7ED0" w:rsidP="006B7ED0">
      <w:pPr>
        <w:pStyle w:val="Heading5"/>
      </w:pPr>
      <w:r>
        <w:t>INTERNATIONAL ELECTROTECHNICAL COMMISSION</w:t>
      </w:r>
    </w:p>
    <w:p w14:paraId="27D6E1EF" w14:textId="77777777" w:rsidR="006B7ED0" w:rsidRDefault="006B7ED0" w:rsidP="006B7ED0">
      <w:pPr>
        <w:tabs>
          <w:tab w:val="left" w:pos="1134"/>
        </w:tabs>
        <w:rPr>
          <w:b/>
        </w:rPr>
        <w:sectPr w:rsidR="006B7ED0" w:rsidSect="006B7ED0">
          <w:footerReference w:type="default" r:id="rId6"/>
          <w:pgSz w:w="11907" w:h="16840" w:code="9"/>
          <w:pgMar w:top="1021" w:right="1134" w:bottom="1418" w:left="1021" w:header="426" w:footer="851" w:gutter="0"/>
          <w:cols w:space="720"/>
        </w:sectPr>
      </w:pPr>
    </w:p>
    <w:p w14:paraId="79A6584D" w14:textId="77777777" w:rsidR="006B7ED0" w:rsidRDefault="006B7ED0" w:rsidP="006B7ED0"/>
    <w:p w14:paraId="7D9670F0" w14:textId="77777777" w:rsidR="006B7ED0" w:rsidRDefault="006B7ED0" w:rsidP="006B7ED0">
      <w:pPr>
        <w:widowControl w:val="0"/>
        <w:autoSpaceDE w:val="0"/>
        <w:autoSpaceDN w:val="0"/>
        <w:adjustRightInd w:val="0"/>
        <w:spacing w:after="240" w:line="300" w:lineRule="atLeast"/>
        <w:rPr>
          <w:b/>
          <w:sz w:val="22"/>
        </w:rPr>
      </w:pPr>
      <w:r>
        <w:rPr>
          <w:b/>
          <w:sz w:val="22"/>
        </w:rPr>
        <w:t>Meeting of Subcommittee 62C/Working Group 1</w:t>
      </w:r>
    </w:p>
    <w:p w14:paraId="0F77A7D8" w14:textId="77777777" w:rsidR="006B7ED0" w:rsidRPr="005320E4" w:rsidRDefault="006B7ED0" w:rsidP="006B7ED0">
      <w:pPr>
        <w:spacing w:before="120"/>
        <w:rPr>
          <w:b/>
          <w:sz w:val="22"/>
          <w:szCs w:val="22"/>
        </w:rPr>
      </w:pPr>
      <w:r>
        <w:rPr>
          <w:b/>
          <w:sz w:val="22"/>
          <w:szCs w:val="22"/>
        </w:rPr>
        <w:t>April</w:t>
      </w:r>
      <w:r w:rsidRPr="005320E4">
        <w:rPr>
          <w:b/>
          <w:sz w:val="22"/>
          <w:szCs w:val="22"/>
        </w:rPr>
        <w:t xml:space="preserve"> </w:t>
      </w:r>
      <w:r>
        <w:rPr>
          <w:b/>
          <w:sz w:val="22"/>
          <w:szCs w:val="22"/>
        </w:rPr>
        <w:t>5</w:t>
      </w:r>
      <w:r w:rsidRPr="005320E4">
        <w:rPr>
          <w:b/>
          <w:sz w:val="22"/>
          <w:szCs w:val="22"/>
        </w:rPr>
        <w:t xml:space="preserve"> to </w:t>
      </w:r>
      <w:r>
        <w:rPr>
          <w:b/>
          <w:sz w:val="22"/>
          <w:szCs w:val="22"/>
        </w:rPr>
        <w:t>9</w:t>
      </w:r>
      <w:r w:rsidRPr="005320E4">
        <w:rPr>
          <w:b/>
          <w:sz w:val="22"/>
          <w:szCs w:val="22"/>
        </w:rPr>
        <w:t>, 202</w:t>
      </w:r>
      <w:r>
        <w:rPr>
          <w:b/>
          <w:sz w:val="22"/>
          <w:szCs w:val="22"/>
        </w:rPr>
        <w:t>5</w:t>
      </w:r>
      <w:r w:rsidRPr="005320E4">
        <w:rPr>
          <w:b/>
          <w:sz w:val="22"/>
          <w:szCs w:val="22"/>
        </w:rPr>
        <w:t xml:space="preserve"> in </w:t>
      </w:r>
      <w:r>
        <w:rPr>
          <w:b/>
          <w:sz w:val="22"/>
          <w:szCs w:val="22"/>
        </w:rPr>
        <w:t>Washington, DC</w:t>
      </w:r>
    </w:p>
    <w:p w14:paraId="7C6EB84C" w14:textId="77777777" w:rsidR="006B7ED0" w:rsidRPr="005320E4" w:rsidRDefault="006B7ED0" w:rsidP="006B7ED0">
      <w:pPr>
        <w:autoSpaceDE w:val="0"/>
        <w:autoSpaceDN w:val="0"/>
        <w:adjustRightInd w:val="0"/>
        <w:ind w:right="2682"/>
        <w:rPr>
          <w:b/>
          <w:sz w:val="22"/>
          <w:szCs w:val="22"/>
        </w:rPr>
        <w:sectPr w:rsidR="006B7ED0" w:rsidRPr="005320E4" w:rsidSect="006B7ED0">
          <w:footerReference w:type="default" r:id="rId7"/>
          <w:type w:val="continuous"/>
          <w:pgSz w:w="11907" w:h="16840" w:code="9"/>
          <w:pgMar w:top="1021" w:right="1134" w:bottom="1418" w:left="1021" w:header="426" w:footer="851" w:gutter="0"/>
          <w:cols w:space="720"/>
          <w:formProt w:val="0"/>
        </w:sectPr>
      </w:pPr>
    </w:p>
    <w:p w14:paraId="3EA1299B" w14:textId="77777777" w:rsidR="006B7ED0" w:rsidRPr="005320E4" w:rsidRDefault="006B7ED0" w:rsidP="006B7ED0">
      <w:pPr>
        <w:autoSpaceDE w:val="0"/>
        <w:autoSpaceDN w:val="0"/>
        <w:adjustRightInd w:val="0"/>
        <w:ind w:right="376"/>
        <w:rPr>
          <w:b/>
          <w:sz w:val="22"/>
          <w:szCs w:val="22"/>
        </w:rPr>
      </w:pPr>
    </w:p>
    <w:p w14:paraId="47C5EBA9" w14:textId="77777777" w:rsidR="006B7ED0" w:rsidRPr="005320E4" w:rsidRDefault="006B7ED0" w:rsidP="006B7ED0">
      <w:pPr>
        <w:autoSpaceDE w:val="0"/>
        <w:autoSpaceDN w:val="0"/>
        <w:adjustRightInd w:val="0"/>
        <w:ind w:right="376"/>
        <w:rPr>
          <w:b/>
          <w:sz w:val="22"/>
          <w:szCs w:val="22"/>
        </w:rPr>
      </w:pPr>
      <w:r w:rsidRPr="005320E4">
        <w:rPr>
          <w:b/>
          <w:sz w:val="22"/>
          <w:szCs w:val="22"/>
        </w:rPr>
        <w:t xml:space="preserve">Meeting venue: </w:t>
      </w:r>
    </w:p>
    <w:p w14:paraId="0EEE8FC2" w14:textId="77777777" w:rsidR="006B7ED0" w:rsidRPr="005320E4" w:rsidRDefault="006B7ED0" w:rsidP="006B7ED0">
      <w:pPr>
        <w:ind w:right="376"/>
        <w:rPr>
          <w:sz w:val="22"/>
          <w:szCs w:val="22"/>
        </w:rPr>
      </w:pPr>
      <w:r>
        <w:rPr>
          <w:sz w:val="22"/>
          <w:szCs w:val="22"/>
        </w:rPr>
        <w:t>National Electrical Manufacturers Assn.</w:t>
      </w:r>
    </w:p>
    <w:p w14:paraId="710DC563" w14:textId="77777777" w:rsidR="006B7ED0" w:rsidRDefault="006B7ED0" w:rsidP="006B7ED0">
      <w:pPr>
        <w:ind w:right="376"/>
        <w:rPr>
          <w:sz w:val="22"/>
          <w:szCs w:val="22"/>
        </w:rPr>
      </w:pPr>
      <w:r w:rsidRPr="00D814D5">
        <w:rPr>
          <w:sz w:val="22"/>
          <w:szCs w:val="22"/>
        </w:rPr>
        <w:t>1300 North 17th Street</w:t>
      </w:r>
      <w:r>
        <w:rPr>
          <w:sz w:val="22"/>
          <w:szCs w:val="22"/>
        </w:rPr>
        <w:t>,</w:t>
      </w:r>
      <w:r w:rsidRPr="00D814D5">
        <w:rPr>
          <w:sz w:val="22"/>
          <w:szCs w:val="22"/>
        </w:rPr>
        <w:t xml:space="preserve"> Suite 900</w:t>
      </w:r>
    </w:p>
    <w:p w14:paraId="385A64D8" w14:textId="77777777" w:rsidR="006B7ED0" w:rsidRDefault="006B7ED0" w:rsidP="006B7ED0">
      <w:pPr>
        <w:ind w:right="376"/>
        <w:rPr>
          <w:sz w:val="22"/>
          <w:szCs w:val="22"/>
        </w:rPr>
      </w:pPr>
      <w:r w:rsidRPr="00D814D5">
        <w:rPr>
          <w:sz w:val="22"/>
          <w:szCs w:val="22"/>
        </w:rPr>
        <w:t>Arlington</w:t>
      </w:r>
      <w:r>
        <w:rPr>
          <w:sz w:val="22"/>
          <w:szCs w:val="22"/>
        </w:rPr>
        <w:t>,</w:t>
      </w:r>
      <w:r w:rsidRPr="00D814D5">
        <w:rPr>
          <w:sz w:val="22"/>
          <w:szCs w:val="22"/>
        </w:rPr>
        <w:t xml:space="preserve"> VA 22209</w:t>
      </w:r>
    </w:p>
    <w:p w14:paraId="7EDB924C" w14:textId="77777777" w:rsidR="006B7ED0" w:rsidRDefault="006B7ED0" w:rsidP="006B7ED0">
      <w:pPr>
        <w:widowControl w:val="0"/>
        <w:tabs>
          <w:tab w:val="left" w:pos="360"/>
          <w:tab w:val="left" w:pos="1843"/>
        </w:tabs>
        <w:autoSpaceDE w:val="0"/>
        <w:autoSpaceDN w:val="0"/>
        <w:adjustRightInd w:val="0"/>
        <w:spacing w:after="120"/>
        <w:ind w:left="1843" w:hanging="1843"/>
        <w:rPr>
          <w:sz w:val="22"/>
          <w:szCs w:val="22"/>
        </w:rPr>
      </w:pPr>
    </w:p>
    <w:p w14:paraId="48887A06" w14:textId="77777777" w:rsidR="006B7ED0" w:rsidRDefault="006B7ED0" w:rsidP="006B7ED0">
      <w:pPr>
        <w:widowControl w:val="0"/>
        <w:tabs>
          <w:tab w:val="left" w:pos="360"/>
          <w:tab w:val="left" w:pos="1440"/>
        </w:tabs>
        <w:autoSpaceDE w:val="0"/>
        <w:autoSpaceDN w:val="0"/>
        <w:adjustRightInd w:val="0"/>
        <w:spacing w:after="120"/>
        <w:rPr>
          <w:sz w:val="22"/>
          <w:szCs w:val="22"/>
        </w:rPr>
      </w:pPr>
      <w:r>
        <w:rPr>
          <w:sz w:val="22"/>
          <w:szCs w:val="22"/>
        </w:rPr>
        <w:t>23 members attended in person. Additional members attended remotely, but attendance was not taken.</w:t>
      </w:r>
    </w:p>
    <w:p w14:paraId="36BE2128" w14:textId="77777777" w:rsidR="006B7ED0" w:rsidRPr="00861F1F" w:rsidRDefault="006B7ED0" w:rsidP="006B7ED0">
      <w:pPr>
        <w:pStyle w:val="Heading1"/>
      </w:pPr>
      <w:r w:rsidRPr="00861F1F">
        <w:t>Report of Meeting</w:t>
      </w:r>
    </w:p>
    <w:p w14:paraId="370AC15E" w14:textId="77777777" w:rsidR="006B7ED0" w:rsidRPr="000600D0" w:rsidRDefault="006B7ED0" w:rsidP="006B7ED0">
      <w:pPr>
        <w:pStyle w:val="Heading2"/>
        <w:numPr>
          <w:ilvl w:val="0"/>
          <w:numId w:val="4"/>
        </w:numPr>
        <w:ind w:left="360"/>
      </w:pPr>
      <w:r w:rsidRPr="000600D0">
        <w:t>Welcome and housekeeping:</w:t>
      </w:r>
    </w:p>
    <w:p w14:paraId="32A8F1B7"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861F1F">
        <w:rPr>
          <w:color w:val="000000" w:themeColor="text1"/>
        </w:rPr>
        <w:t>Review IEC Code of Conduct</w:t>
      </w:r>
    </w:p>
    <w:p w14:paraId="164DC6A9"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861F1F">
        <w:t>Adoption of the agenda and structuring the meeting days</w:t>
      </w:r>
    </w:p>
    <w:p w14:paraId="40CAF851" w14:textId="77777777" w:rsidR="006B7ED0" w:rsidRPr="00861F1F"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861F1F">
        <w:t>Report from the Convenor</w:t>
      </w:r>
    </w:p>
    <w:p w14:paraId="45A51ABC"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861F1F">
        <w:rPr>
          <w:color w:val="000000" w:themeColor="text1"/>
        </w:rPr>
        <w:t>Report and information from the Secretariat and Chair</w:t>
      </w:r>
      <w:r>
        <w:rPr>
          <w:color w:val="000000" w:themeColor="text1"/>
        </w:rPr>
        <w:br/>
      </w:r>
      <w:r w:rsidRPr="00861F1F">
        <w:rPr>
          <w:color w:val="000000" w:themeColor="text1"/>
        </w:rPr>
        <w:t>Regina Geierhofer attended remotely and showed a powerpoint presentation</w:t>
      </w:r>
      <w:r>
        <w:rPr>
          <w:color w:val="000000" w:themeColor="text1"/>
        </w:rPr>
        <w:t>. Alan Cohen reported that his term as chair of Subcommittee 62C was coming to an end in May. Jeff Siebers has been elected to take over as chair. The WG thanked Alan for his many years of service and welcomed Jeff.</w:t>
      </w:r>
    </w:p>
    <w:p w14:paraId="69FF79EF" w14:textId="77777777" w:rsidR="006B7ED0" w:rsidRPr="000600D0" w:rsidRDefault="006B7ED0" w:rsidP="006B7ED0">
      <w:pPr>
        <w:pStyle w:val="Heading2"/>
        <w:numPr>
          <w:ilvl w:val="0"/>
          <w:numId w:val="4"/>
        </w:numPr>
        <w:ind w:left="360"/>
      </w:pPr>
      <w:r w:rsidRPr="000600D0">
        <w:t>Status reports:</w:t>
      </w:r>
    </w:p>
    <w:p w14:paraId="08F5A549"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IEC 60601-2-44, CT Safety.  </w:t>
      </w:r>
      <w:r>
        <w:rPr>
          <w:color w:val="000000" w:themeColor="text1"/>
        </w:rPr>
        <w:br/>
      </w:r>
      <w:r w:rsidRPr="000600D0">
        <w:rPr>
          <w:color w:val="000000" w:themeColor="text1"/>
        </w:rPr>
        <w:t>Update of discussions with SC 62B/WG 30. Wolfgang Baus, Thomas Jakob, Kazuo (Elvis) Tomida, Ab Sayeed, and Geoff Ibbott</w:t>
      </w:r>
      <w:r>
        <w:rPr>
          <w:color w:val="000000" w:themeColor="text1"/>
        </w:rPr>
        <w:t xml:space="preserve"> have represented </w:t>
      </w:r>
      <w:r w:rsidRPr="000600D0">
        <w:rPr>
          <w:color w:val="000000" w:themeColor="text1"/>
        </w:rPr>
        <w:t>WG 1</w:t>
      </w:r>
      <w:r>
        <w:rPr>
          <w:color w:val="000000" w:themeColor="text1"/>
        </w:rPr>
        <w:t xml:space="preserve"> in these discussions. Wolfgang reported on the history of our concerns regarding the clauses in 60601-2-44 for CT scanners used for radiotherapy simulation and described very constructive conversations with Andreas Schaller, Convenor of 62B WG 30. Clause 201.101 has been reinstated and improved, with the diagrams and reference to coordinate systems as recommended by WG 1.</w:t>
      </w:r>
      <w:r w:rsidRPr="000600D0">
        <w:rPr>
          <w:color w:val="000000" w:themeColor="text1"/>
        </w:rPr>
        <w:t xml:space="preserve"> </w:t>
      </w:r>
    </w:p>
    <w:p w14:paraId="52D2A4BB"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Ad hoc Group 10 on alignment with ISO 18969 – status update by Regina Geierhofer </w:t>
      </w:r>
    </w:p>
    <w:p w14:paraId="76067126"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IEC 60050-880 and -881 (62C/901/AC), Terminology. Update on progress from Michael Moyers</w:t>
      </w:r>
    </w:p>
    <w:p w14:paraId="702FA920"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IEC 63322. Source Security. Per Kjäll and Anita Nilsson. FDIS</w:t>
      </w:r>
      <w:r>
        <w:rPr>
          <w:color w:val="000000" w:themeColor="text1"/>
        </w:rPr>
        <w:t xml:space="preserve"> has been submitted.</w:t>
      </w:r>
    </w:p>
    <w:p w14:paraId="6F78273C"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IEC 60601-2-64/A1, Light Ion safety. Kazuo (“Elvis") Tomida. FDIS</w:t>
      </w:r>
      <w:r>
        <w:rPr>
          <w:color w:val="000000" w:themeColor="text1"/>
        </w:rPr>
        <w:t xml:space="preserve"> is in preparation.</w:t>
      </w:r>
    </w:p>
    <w:p w14:paraId="6F861750" w14:textId="77777777" w:rsidR="006B7ED0" w:rsidRPr="000600D0" w:rsidRDefault="006B7ED0" w:rsidP="006B7ED0">
      <w:pPr>
        <w:pStyle w:val="Heading2"/>
        <w:numPr>
          <w:ilvl w:val="0"/>
          <w:numId w:val="4"/>
        </w:numPr>
        <w:ind w:left="360"/>
      </w:pPr>
      <w:r w:rsidRPr="000600D0">
        <w:t>New Projects:</w:t>
      </w:r>
    </w:p>
    <w:p w14:paraId="06395546" w14:textId="77777777" w:rsidR="006B7E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SGRT. Lindsay Tremethick. </w:t>
      </w:r>
      <w:r>
        <w:rPr>
          <w:color w:val="000000" w:themeColor="text1"/>
        </w:rPr>
        <w:t>Lindsay presented an u</w:t>
      </w:r>
      <w:r w:rsidRPr="000600D0">
        <w:rPr>
          <w:color w:val="000000" w:themeColor="text1"/>
        </w:rPr>
        <w:t>pdate on development of a standard</w:t>
      </w:r>
      <w:r>
        <w:rPr>
          <w:color w:val="000000" w:themeColor="text1"/>
        </w:rPr>
        <w:t>.</w:t>
      </w:r>
    </w:p>
    <w:p w14:paraId="6088FF9F"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IEC 62274 Ed 2, Treatment Course Management. Abdul Sayeed. </w:t>
      </w:r>
      <w:r>
        <w:rPr>
          <w:color w:val="000000" w:themeColor="text1"/>
        </w:rPr>
        <w:t>Ab led a brief d</w:t>
      </w:r>
      <w:r w:rsidRPr="000600D0">
        <w:rPr>
          <w:color w:val="000000" w:themeColor="text1"/>
        </w:rPr>
        <w:t xml:space="preserve">iscussion of </w:t>
      </w:r>
      <w:r>
        <w:rPr>
          <w:color w:val="000000" w:themeColor="text1"/>
        </w:rPr>
        <w:t xml:space="preserve">the </w:t>
      </w:r>
      <w:r w:rsidRPr="000600D0">
        <w:rPr>
          <w:color w:val="000000" w:themeColor="text1"/>
        </w:rPr>
        <w:t xml:space="preserve">draft </w:t>
      </w:r>
      <w:proofErr w:type="gramStart"/>
      <w:r w:rsidRPr="000600D0">
        <w:rPr>
          <w:color w:val="000000" w:themeColor="text1"/>
        </w:rPr>
        <w:t xml:space="preserve">CD, </w:t>
      </w:r>
      <w:r>
        <w:rPr>
          <w:color w:val="000000" w:themeColor="text1"/>
        </w:rPr>
        <w:t>and</w:t>
      </w:r>
      <w:proofErr w:type="gramEnd"/>
      <w:r>
        <w:rPr>
          <w:color w:val="000000" w:themeColor="text1"/>
        </w:rPr>
        <w:t xml:space="preserve"> suggested </w:t>
      </w:r>
      <w:r w:rsidRPr="000600D0">
        <w:rPr>
          <w:color w:val="000000" w:themeColor="text1"/>
        </w:rPr>
        <w:t>possible collaboration with Chinese colleagues</w:t>
      </w:r>
      <w:r>
        <w:rPr>
          <w:color w:val="000000" w:themeColor="text1"/>
        </w:rPr>
        <w:t>.</w:t>
      </w:r>
    </w:p>
    <w:p w14:paraId="02C36283" w14:textId="77777777" w:rsidR="006B7ED0" w:rsidRPr="00FA253A"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IEC 60976/60977, Linac performance. John Allen. </w:t>
      </w:r>
      <w:r>
        <w:rPr>
          <w:color w:val="000000" w:themeColor="text1"/>
        </w:rPr>
        <w:t>John described the s</w:t>
      </w:r>
      <w:r w:rsidRPr="000600D0">
        <w:rPr>
          <w:color w:val="000000" w:themeColor="text1"/>
        </w:rPr>
        <w:t>tatus of development in OSD. Members</w:t>
      </w:r>
      <w:r>
        <w:rPr>
          <w:color w:val="000000" w:themeColor="text1"/>
        </w:rPr>
        <w:t xml:space="preserve"> are asked</w:t>
      </w:r>
      <w:r w:rsidRPr="000600D0">
        <w:rPr>
          <w:color w:val="000000" w:themeColor="text1"/>
        </w:rPr>
        <w:t xml:space="preserve"> to comment</w:t>
      </w:r>
      <w:r>
        <w:rPr>
          <w:color w:val="000000" w:themeColor="text1"/>
        </w:rPr>
        <w:t xml:space="preserve"> by end of May</w:t>
      </w:r>
      <w:r w:rsidRPr="000600D0">
        <w:rPr>
          <w:color w:val="000000" w:themeColor="text1"/>
        </w:rPr>
        <w:t xml:space="preserve">. Next step </w:t>
      </w:r>
      <w:r>
        <w:rPr>
          <w:color w:val="000000" w:themeColor="text1"/>
        </w:rPr>
        <w:t>is to submit a</w:t>
      </w:r>
      <w:r w:rsidRPr="000600D0">
        <w:rPr>
          <w:color w:val="000000" w:themeColor="text1"/>
        </w:rPr>
        <w:t xml:space="preserve"> formal project.</w:t>
      </w:r>
    </w:p>
    <w:p w14:paraId="1CA6F6B6" w14:textId="77777777" w:rsidR="006B7ED0" w:rsidRPr="000600D0" w:rsidRDefault="006B7ED0" w:rsidP="006B7ED0">
      <w:pPr>
        <w:pStyle w:val="Heading2"/>
        <w:numPr>
          <w:ilvl w:val="0"/>
          <w:numId w:val="4"/>
        </w:numPr>
        <w:ind w:left="360"/>
      </w:pPr>
      <w:r w:rsidRPr="000600D0">
        <w:t>Projects in Development</w:t>
      </w:r>
    </w:p>
    <w:p w14:paraId="4C5363A9" w14:textId="77777777" w:rsidR="006B7ED0" w:rsidRPr="00FA253A"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IEC 60601-2-68 Ed 2. IGRT Safety. Thomas Jakob. 62C/927/FDIS was approved with many </w:t>
      </w:r>
      <w:r>
        <w:rPr>
          <w:color w:val="000000" w:themeColor="text1"/>
        </w:rPr>
        <w:t xml:space="preserve">minor editorial </w:t>
      </w:r>
      <w:r w:rsidRPr="000600D0">
        <w:rPr>
          <w:color w:val="000000" w:themeColor="text1"/>
        </w:rPr>
        <w:t xml:space="preserve">comments. </w:t>
      </w:r>
      <w:r>
        <w:rPr>
          <w:color w:val="000000" w:themeColor="text1"/>
        </w:rPr>
        <w:t>Thomas led a b</w:t>
      </w:r>
      <w:r w:rsidRPr="000600D0">
        <w:rPr>
          <w:color w:val="000000" w:themeColor="text1"/>
        </w:rPr>
        <w:t xml:space="preserve">rief review of </w:t>
      </w:r>
      <w:r>
        <w:rPr>
          <w:color w:val="000000" w:themeColor="text1"/>
        </w:rPr>
        <w:t xml:space="preserve">the </w:t>
      </w:r>
      <w:r w:rsidRPr="000600D0">
        <w:rPr>
          <w:color w:val="000000" w:themeColor="text1"/>
        </w:rPr>
        <w:t xml:space="preserve">comments. </w:t>
      </w:r>
      <w:r w:rsidRPr="00FA253A">
        <w:rPr>
          <w:color w:val="000000" w:themeColor="text1"/>
        </w:rPr>
        <w:t xml:space="preserve">Most </w:t>
      </w:r>
      <w:r>
        <w:rPr>
          <w:color w:val="000000" w:themeColor="text1"/>
        </w:rPr>
        <w:t>were</w:t>
      </w:r>
      <w:r w:rsidRPr="00FA253A">
        <w:rPr>
          <w:color w:val="000000" w:themeColor="text1"/>
        </w:rPr>
        <w:t xml:space="preserve"> handled </w:t>
      </w:r>
      <w:proofErr w:type="gramStart"/>
      <w:r w:rsidRPr="00FA253A">
        <w:rPr>
          <w:color w:val="000000" w:themeColor="text1"/>
        </w:rPr>
        <w:t>easily</w:t>
      </w:r>
      <w:proofErr w:type="gramEnd"/>
      <w:r>
        <w:rPr>
          <w:color w:val="000000" w:themeColor="text1"/>
        </w:rPr>
        <w:t xml:space="preserve"> and others required a short discussion</w:t>
      </w:r>
      <w:r w:rsidRPr="00FA253A">
        <w:rPr>
          <w:color w:val="000000" w:themeColor="text1"/>
        </w:rPr>
        <w:t xml:space="preserve">. Thomas explained that </w:t>
      </w:r>
      <w:r>
        <w:rPr>
          <w:color w:val="000000" w:themeColor="text1"/>
        </w:rPr>
        <w:t xml:space="preserve">the next </w:t>
      </w:r>
      <w:r>
        <w:rPr>
          <w:color w:val="000000" w:themeColor="text1"/>
        </w:rPr>
        <w:lastRenderedPageBreak/>
        <w:t>step will be to respond in OSD then forward the file to Central Office.</w:t>
      </w:r>
    </w:p>
    <w:p w14:paraId="36231613" w14:textId="77777777" w:rsidR="006B7ED0" w:rsidRPr="009B35FD"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9B35FD">
        <w:rPr>
          <w:color w:val="000000" w:themeColor="text1"/>
        </w:rPr>
        <w:t>IEC 62083 Ed 3. TPS Safety. Thomas Jakob. Thomas led a review of comments on 62C/920/CDV.</w:t>
      </w:r>
      <w:r w:rsidRPr="009B35FD" w:rsidDel="00412DB1">
        <w:rPr>
          <w:color w:val="000000" w:themeColor="text1"/>
        </w:rPr>
        <w:t xml:space="preserve"> </w:t>
      </w:r>
      <w:r w:rsidRPr="009B35FD">
        <w:rPr>
          <w:color w:val="000000" w:themeColor="text1"/>
        </w:rPr>
        <w:t>There had been more than 200 comments. Thomas had handled many of the editorial comments and had flagged others that needed discussion. This issue of the required hardware had been raised by the US and was discussed at length. It</w:t>
      </w:r>
      <w:r w:rsidRPr="009B35FD">
        <w:t xml:space="preserve"> was agreed that the existing wording in the clause about software upgrades was acceptable, with some minor adjustment, but the same or similar language should appear earlier in the standard in a more general clause. </w:t>
      </w:r>
      <w:proofErr w:type="gramStart"/>
      <w:r w:rsidRPr="009B35FD">
        <w:t>A large number of</w:t>
      </w:r>
      <w:proofErr w:type="gramEnd"/>
      <w:r w:rsidRPr="009B35FD">
        <w:t xml:space="preserve"> other comments were addressed and resolved. Thomas will proceed to prepare an FDIS.</w:t>
      </w:r>
      <w:r w:rsidRPr="009B35FD">
        <w:br/>
      </w:r>
      <w:r w:rsidRPr="009B35FD">
        <w:rPr>
          <w:color w:val="000000" w:themeColor="text1"/>
        </w:rPr>
        <w:t>IEC 60601-2-11. proposal for new edition – Per Kjäll</w:t>
      </w:r>
      <w:r>
        <w:rPr>
          <w:color w:val="000000" w:themeColor="text1"/>
        </w:rPr>
        <w:t xml:space="preserve">. </w:t>
      </w:r>
      <w:r w:rsidRPr="009B35FD">
        <w:rPr>
          <w:color w:val="000000" w:themeColor="text1"/>
        </w:rPr>
        <w:t xml:space="preserve">Per was not in attendance. Geoff relayed a statement from Per: “Our plan is the </w:t>
      </w:r>
      <w:proofErr w:type="gramStart"/>
      <w:r w:rsidRPr="009B35FD">
        <w:rPr>
          <w:color w:val="000000" w:themeColor="text1"/>
        </w:rPr>
        <w:t>following;</w:t>
      </w:r>
      <w:proofErr w:type="gramEnd"/>
      <w:r w:rsidRPr="009B35FD">
        <w:rPr>
          <w:color w:val="000000" w:themeColor="text1"/>
        </w:rPr>
        <w:t xml:space="preserve"> we have gone through 2-11 internally and written down all the changes we would like to make, and we are going through the changes a second time with other internal stakeholders. When this is </w:t>
      </w:r>
      <w:proofErr w:type="gramStart"/>
      <w:r w:rsidRPr="009B35FD">
        <w:rPr>
          <w:color w:val="000000" w:themeColor="text1"/>
        </w:rPr>
        <w:t>done</w:t>
      </w:r>
      <w:proofErr w:type="gramEnd"/>
      <w:r w:rsidRPr="009B35FD">
        <w:rPr>
          <w:color w:val="000000" w:themeColor="text1"/>
        </w:rPr>
        <w:t xml:space="preserve"> we will send the document with the suggested changes to the companies (incl. regulators/notified bodies) we have identified that may be interested. When we have a response from </w:t>
      </w:r>
      <w:proofErr w:type="gramStart"/>
      <w:r w:rsidRPr="009B35FD">
        <w:rPr>
          <w:color w:val="000000" w:themeColor="text1"/>
        </w:rPr>
        <w:t>them</w:t>
      </w:r>
      <w:proofErr w:type="gramEnd"/>
      <w:r w:rsidRPr="009B35FD">
        <w:rPr>
          <w:color w:val="000000" w:themeColor="text1"/>
        </w:rPr>
        <w:t xml:space="preserve"> we will finalize the text necessary for a NWIP and send to WG1.”</w:t>
      </w:r>
    </w:p>
    <w:p w14:paraId="7B129BE8"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NCT Performance. Discussion</w:t>
      </w:r>
      <w:r>
        <w:rPr>
          <w:color w:val="000000" w:themeColor="text1"/>
        </w:rPr>
        <w:t xml:space="preserve"> was held</w:t>
      </w:r>
      <w:r w:rsidRPr="000600D0">
        <w:rPr>
          <w:color w:val="000000" w:themeColor="text1"/>
        </w:rPr>
        <w:t xml:space="preserve"> of </w:t>
      </w:r>
      <w:r>
        <w:rPr>
          <w:color w:val="000000" w:themeColor="text1"/>
        </w:rPr>
        <w:t xml:space="preserve">the </w:t>
      </w:r>
      <w:r w:rsidRPr="000600D0">
        <w:rPr>
          <w:color w:val="000000" w:themeColor="text1"/>
        </w:rPr>
        <w:t xml:space="preserve">next draft of proposed new standard. Hyo Jung Seo and Ilsung Cho. Ilsung was in attendance and showed a presentation summarizing recent progress. He had received </w:t>
      </w:r>
      <w:proofErr w:type="gramStart"/>
      <w:r w:rsidRPr="000600D0">
        <w:rPr>
          <w:color w:val="000000" w:themeColor="text1"/>
        </w:rPr>
        <w:t>a number of</w:t>
      </w:r>
      <w:proofErr w:type="gramEnd"/>
      <w:r w:rsidRPr="000600D0">
        <w:rPr>
          <w:color w:val="000000" w:themeColor="text1"/>
        </w:rPr>
        <w:t xml:space="preserve"> comments regarding the previous draft which he reviewed, and the participants discussed. Ilsung will now move forward with preparation of another draft and formal start of the project.</w:t>
      </w:r>
    </w:p>
    <w:p w14:paraId="13F41EA7"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IEC 60601-2-93, Neutron Capture Therapy. Hiroaki Kumada. The CDV has been submitted for French translation and is expected to be circulated in late May, with votes and comments due in August. We will plan on discussion in November.</w:t>
      </w:r>
    </w:p>
    <w:p w14:paraId="17489A74"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IEC 60601-2-92. MR-IGRT Safety. Abdul Sayeed. Ab went through the extensive comments that were received on the CD. A major decision was to remove cobalt-based treatment units from consideration. The title was changed also to remove the limitation to only </w:t>
      </w:r>
      <w:r w:rsidRPr="009B35FD">
        <w:rPr>
          <w:i/>
          <w:iCs/>
          <w:color w:val="000000" w:themeColor="text1"/>
        </w:rPr>
        <w:t>image</w:t>
      </w:r>
      <w:r w:rsidRPr="000600D0">
        <w:rPr>
          <w:color w:val="000000" w:themeColor="text1"/>
        </w:rPr>
        <w:t xml:space="preserve">-guided treatment as other MR parameters might be used. Adapted treatments will be considered in a future edition. A lot of effort was given to the accuracy of transforming the MR image to the EBE reference coordinate system. </w:t>
      </w:r>
      <w:r>
        <w:rPr>
          <w:color w:val="000000" w:themeColor="text1"/>
        </w:rPr>
        <w:t>The WG</w:t>
      </w:r>
      <w:r w:rsidRPr="000600D0">
        <w:rPr>
          <w:color w:val="000000" w:themeColor="text1"/>
        </w:rPr>
        <w:t xml:space="preserve"> did not finish discussing all the comments. Ab will </w:t>
      </w:r>
      <w:r>
        <w:rPr>
          <w:color w:val="000000" w:themeColor="text1"/>
        </w:rPr>
        <w:t xml:space="preserve">continue to </w:t>
      </w:r>
      <w:r w:rsidRPr="000600D0">
        <w:rPr>
          <w:color w:val="000000" w:themeColor="text1"/>
        </w:rPr>
        <w:t>work on</w:t>
      </w:r>
      <w:r>
        <w:rPr>
          <w:color w:val="000000" w:themeColor="text1"/>
        </w:rPr>
        <w:t xml:space="preserve"> addressing the comments</w:t>
      </w:r>
      <w:r w:rsidRPr="000600D0">
        <w:rPr>
          <w:color w:val="000000" w:themeColor="text1"/>
        </w:rPr>
        <w:t>. He’ll arrange a Teams call if necessary.</w:t>
      </w:r>
      <w:r>
        <w:rPr>
          <w:color w:val="000000" w:themeColor="text1"/>
        </w:rPr>
        <w:t xml:space="preserve"> a</w:t>
      </w:r>
      <w:r w:rsidRPr="000600D0">
        <w:rPr>
          <w:color w:val="000000" w:themeColor="text1"/>
        </w:rPr>
        <w:t xml:space="preserve">nd </w:t>
      </w:r>
      <w:r>
        <w:rPr>
          <w:color w:val="000000" w:themeColor="text1"/>
        </w:rPr>
        <w:t>wi</w:t>
      </w:r>
      <w:r w:rsidRPr="000600D0">
        <w:rPr>
          <w:color w:val="000000" w:themeColor="text1"/>
        </w:rPr>
        <w:t>ll investigate having the document moved to OSD for further work.</w:t>
      </w:r>
    </w:p>
    <w:p w14:paraId="575A06F1"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IEC 63321, IGRT Performance. Dominik Kowalski. Dominik reviewed the history of development of the new edition in OSD. He scrolled through the list of experts nominated by national committees; this group will be contacted for follow-up remote meetings if needed. The group then proceeded through the submitted comments </w:t>
      </w:r>
      <w:r>
        <w:rPr>
          <w:color w:val="000000" w:themeColor="text1"/>
        </w:rPr>
        <w:t xml:space="preserve">on </w:t>
      </w:r>
      <w:r w:rsidRPr="000600D0">
        <w:rPr>
          <w:color w:val="000000" w:themeColor="text1"/>
        </w:rPr>
        <w:t xml:space="preserve">62C/942/NP and attempted to resolve them. There were about 49 comments, most of which came from the US. There was discussion about the mechanism and timing to prepare a 2nd CD in time for review before the next meeting in November. For 8 weeks review time, the CD would need to be distributed by the end of August. </w:t>
      </w:r>
    </w:p>
    <w:p w14:paraId="33C92B3C"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IEC TC 45 draft standard on cyclotrons – Update from Caterina Brusasco. Caterina prepared a written report and projected the report while discussing the events. We continue to have concerns about the scope of the TC 45 standard. There are also issues with requirements of the standard that are not relevant to medical equipment and cause unnecessary and sometimes disruptive work. There will be a meeting of TC 45 in Tennessee in June, and representatives of WG 1 will plan to attend. Lindsay asked if </w:t>
      </w:r>
      <w:r w:rsidRPr="000600D0">
        <w:rPr>
          <w:color w:val="000000" w:themeColor="text1"/>
        </w:rPr>
        <w:lastRenderedPageBreak/>
        <w:t xml:space="preserve">Caterina believes that medical will be removed from the scope or should we organize an effort of national committees to comment? </w:t>
      </w:r>
    </w:p>
    <w:p w14:paraId="478C74EA" w14:textId="77777777" w:rsidR="006B7E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 xml:space="preserve">IEC 60601-1 Ed 4 WG 46 Ionizing radiation hazards – Status update, Thomas Jakob. Thomas reported that WG 46 met for 3 days last week and the previous 2 days this week. </w:t>
      </w:r>
      <w:r>
        <w:rPr>
          <w:color w:val="000000" w:themeColor="text1"/>
        </w:rPr>
        <w:t xml:space="preserve">The </w:t>
      </w:r>
      <w:r w:rsidRPr="000600D0">
        <w:rPr>
          <w:color w:val="000000" w:themeColor="text1"/>
        </w:rPr>
        <w:t xml:space="preserve">4th edition project expects to have all fragments ready by end of May and </w:t>
      </w:r>
      <w:r>
        <w:rPr>
          <w:color w:val="000000" w:themeColor="text1"/>
        </w:rPr>
        <w:t xml:space="preserve">a </w:t>
      </w:r>
      <w:r w:rsidRPr="000600D0">
        <w:rPr>
          <w:color w:val="000000" w:themeColor="text1"/>
        </w:rPr>
        <w:t xml:space="preserve">complete document (on ionizing radiation) ready for circulation in July. The plan is to be able to review the comments in November in Milan. </w:t>
      </w:r>
    </w:p>
    <w:p w14:paraId="726DFFDC"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WG 4 on terminology will meet in Netherlands at end of April.</w:t>
      </w:r>
    </w:p>
    <w:p w14:paraId="00FD8660" w14:textId="77777777" w:rsidR="006B7ED0" w:rsidRPr="000600D0" w:rsidRDefault="006B7ED0" w:rsidP="006B7ED0">
      <w:pPr>
        <w:pStyle w:val="ListParagraph"/>
        <w:widowControl w:val="0"/>
        <w:numPr>
          <w:ilvl w:val="0"/>
          <w:numId w:val="3"/>
        </w:numPr>
        <w:tabs>
          <w:tab w:val="left" w:pos="360"/>
        </w:tabs>
        <w:autoSpaceDE w:val="0"/>
        <w:autoSpaceDN w:val="0"/>
        <w:adjustRightInd w:val="0"/>
        <w:spacing w:after="120" w:line="240" w:lineRule="auto"/>
        <w:rPr>
          <w:color w:val="000000" w:themeColor="text1"/>
        </w:rPr>
      </w:pPr>
      <w:r w:rsidRPr="000600D0">
        <w:rPr>
          <w:color w:val="000000" w:themeColor="text1"/>
        </w:rPr>
        <w:t>IEC 60601-2-1. Amendment for UHDR Radiotherapy (PWI 62C-1) and for compliance tests. Giuseppe Felici, John Allen, Dave Whittum, Scott Filson. Review of progress toward CD. Giuseppe joined remotely to discuss the UHDR amendment. He began with a presentation summarizing the past work and then began to discuss individual clauses. Considerable discussion was held on several clauses having to do with test equipment, and measurement of beam pulses. Members will provide their proposals for revisions to other clauses (as has been discussed previously) for Giuseppe to include. Giuseppe agrees to have a draft CD ready by mid-June for circulation so that comments can be received by mid-October.</w:t>
      </w:r>
    </w:p>
    <w:p w14:paraId="1918B01F" w14:textId="77777777" w:rsidR="006B7ED0" w:rsidRPr="000600D0" w:rsidRDefault="006B7ED0" w:rsidP="006B7ED0">
      <w:pPr>
        <w:pStyle w:val="Heading2"/>
        <w:numPr>
          <w:ilvl w:val="0"/>
          <w:numId w:val="4"/>
        </w:numPr>
        <w:ind w:left="360"/>
      </w:pPr>
      <w:r>
        <w:t>Meeting closing and adjournment</w:t>
      </w:r>
      <w:r w:rsidRPr="000600D0">
        <w:t>.</w:t>
      </w:r>
    </w:p>
    <w:p w14:paraId="63296549" w14:textId="77777777" w:rsidR="006B7ED0" w:rsidRDefault="006B7ED0" w:rsidP="006B7ED0">
      <w:pPr>
        <w:pStyle w:val="ListParagraph"/>
        <w:widowControl w:val="0"/>
        <w:numPr>
          <w:ilvl w:val="0"/>
          <w:numId w:val="5"/>
        </w:numPr>
        <w:tabs>
          <w:tab w:val="left" w:pos="360"/>
        </w:tabs>
        <w:autoSpaceDE w:val="0"/>
        <w:autoSpaceDN w:val="0"/>
        <w:adjustRightInd w:val="0"/>
        <w:spacing w:after="120" w:line="240" w:lineRule="auto"/>
        <w:rPr>
          <w:color w:val="000000" w:themeColor="text1"/>
        </w:rPr>
      </w:pPr>
      <w:r w:rsidRPr="000600D0">
        <w:rPr>
          <w:color w:val="000000" w:themeColor="text1"/>
        </w:rPr>
        <w:t xml:space="preserve">The next meeting is proposed to be held in Italy, in conjunction with the General Meeting and meetings of TC 62 and its SCs. However, again we will have the conflict with 62A/WG 46 </w:t>
      </w:r>
      <w:proofErr w:type="gramStart"/>
      <w:r w:rsidRPr="000600D0">
        <w:rPr>
          <w:color w:val="000000" w:themeColor="text1"/>
        </w:rPr>
        <w:t>and also</w:t>
      </w:r>
      <w:proofErr w:type="gramEnd"/>
      <w:r w:rsidRPr="000600D0">
        <w:rPr>
          <w:color w:val="000000" w:themeColor="text1"/>
        </w:rPr>
        <w:t xml:space="preserve"> TC 62/WG 4. Members would like to be able to move between WG 1 and the other meetings. Also, meeting on the weekend in Milan is not possible. </w:t>
      </w:r>
      <w:r>
        <w:rPr>
          <w:color w:val="000000" w:themeColor="text1"/>
        </w:rPr>
        <w:t>Therefore, we propose to meet in Milan during the week of November 3</w:t>
      </w:r>
      <w:r w:rsidRPr="006C612F">
        <w:rPr>
          <w:color w:val="000000" w:themeColor="text1"/>
          <w:vertAlign w:val="superscript"/>
        </w:rPr>
        <w:t>rd</w:t>
      </w:r>
      <w:r>
        <w:rPr>
          <w:color w:val="000000" w:themeColor="text1"/>
        </w:rPr>
        <w:t>. WG members will be free to leave at the end of the week; those staying for the GM and TC/SC meetings will have the weekend free.</w:t>
      </w:r>
    </w:p>
    <w:p w14:paraId="461F868F" w14:textId="77777777" w:rsidR="006B7ED0" w:rsidRDefault="006B7ED0" w:rsidP="006B7ED0">
      <w:pPr>
        <w:widowControl w:val="0"/>
        <w:tabs>
          <w:tab w:val="left" w:pos="360"/>
        </w:tabs>
        <w:autoSpaceDE w:val="0"/>
        <w:autoSpaceDN w:val="0"/>
        <w:adjustRightInd w:val="0"/>
        <w:spacing w:after="120"/>
        <w:rPr>
          <w:color w:val="000000" w:themeColor="text1"/>
          <w:sz w:val="22"/>
          <w:szCs w:val="22"/>
        </w:rPr>
      </w:pPr>
    </w:p>
    <w:p w14:paraId="427A06CC" w14:textId="77777777" w:rsidR="006B7ED0" w:rsidRDefault="006B7ED0" w:rsidP="006B7ED0">
      <w:pPr>
        <w:widowControl w:val="0"/>
        <w:tabs>
          <w:tab w:val="left" w:pos="360"/>
        </w:tabs>
        <w:autoSpaceDE w:val="0"/>
        <w:autoSpaceDN w:val="0"/>
        <w:adjustRightInd w:val="0"/>
        <w:spacing w:after="120"/>
        <w:rPr>
          <w:color w:val="000000" w:themeColor="text1"/>
          <w:sz w:val="22"/>
          <w:szCs w:val="22"/>
        </w:rPr>
      </w:pPr>
      <w:r>
        <w:rPr>
          <w:color w:val="000000" w:themeColor="text1"/>
          <w:sz w:val="22"/>
          <w:szCs w:val="22"/>
        </w:rPr>
        <w:t>Respectfully submitted,</w:t>
      </w:r>
    </w:p>
    <w:p w14:paraId="5E639AB2" w14:textId="77777777" w:rsidR="006B7ED0" w:rsidRDefault="006B7ED0" w:rsidP="006B7ED0">
      <w:pPr>
        <w:widowControl w:val="0"/>
        <w:tabs>
          <w:tab w:val="left" w:pos="360"/>
        </w:tabs>
        <w:autoSpaceDE w:val="0"/>
        <w:autoSpaceDN w:val="0"/>
        <w:adjustRightInd w:val="0"/>
        <w:spacing w:after="120"/>
        <w:rPr>
          <w:color w:val="000000" w:themeColor="text1"/>
          <w:sz w:val="22"/>
          <w:szCs w:val="22"/>
        </w:rPr>
      </w:pPr>
    </w:p>
    <w:p w14:paraId="2E328FA8" w14:textId="77777777" w:rsidR="006B7ED0" w:rsidRDefault="006B7ED0" w:rsidP="006B7ED0">
      <w:pPr>
        <w:widowControl w:val="0"/>
        <w:tabs>
          <w:tab w:val="left" w:pos="360"/>
        </w:tabs>
        <w:autoSpaceDE w:val="0"/>
        <w:autoSpaceDN w:val="0"/>
        <w:adjustRightInd w:val="0"/>
        <w:spacing w:after="120"/>
        <w:rPr>
          <w:color w:val="000000" w:themeColor="text1"/>
          <w:sz w:val="22"/>
          <w:szCs w:val="22"/>
        </w:rPr>
      </w:pPr>
      <w:r>
        <w:rPr>
          <w:color w:val="000000" w:themeColor="text1"/>
          <w:sz w:val="22"/>
          <w:szCs w:val="22"/>
        </w:rPr>
        <w:t>Geoff Ibbott</w:t>
      </w:r>
    </w:p>
    <w:p w14:paraId="64BDF692" w14:textId="77777777" w:rsidR="006B7ED0" w:rsidRPr="007E615F" w:rsidRDefault="006B7ED0" w:rsidP="006B7ED0">
      <w:pPr>
        <w:widowControl w:val="0"/>
        <w:tabs>
          <w:tab w:val="left" w:pos="360"/>
        </w:tabs>
        <w:autoSpaceDE w:val="0"/>
        <w:autoSpaceDN w:val="0"/>
        <w:adjustRightInd w:val="0"/>
        <w:spacing w:after="120"/>
        <w:rPr>
          <w:color w:val="000000" w:themeColor="text1"/>
          <w:sz w:val="22"/>
          <w:szCs w:val="22"/>
        </w:rPr>
      </w:pPr>
      <w:r>
        <w:rPr>
          <w:color w:val="000000" w:themeColor="text1"/>
          <w:sz w:val="22"/>
          <w:szCs w:val="22"/>
        </w:rPr>
        <w:t>WG 1 Convenor</w:t>
      </w:r>
    </w:p>
    <w:p w14:paraId="4A7AE72F" w14:textId="77777777" w:rsidR="003164D9" w:rsidRPr="003164D9" w:rsidRDefault="003164D9">
      <w:pPr>
        <w:rPr>
          <w:b/>
        </w:rPr>
      </w:pPr>
    </w:p>
    <w:sectPr w:rsidR="003164D9" w:rsidRPr="003164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8C93" w14:textId="77777777" w:rsidR="00000000" w:rsidRDefault="00000000">
    <w:pPr>
      <w:pStyle w:val="Footer"/>
    </w:pPr>
    <w:r>
      <w:rPr>
        <w:noProof/>
        <w:lang w:eastAsia="en-GB"/>
      </w:rPr>
      <mc:AlternateContent>
        <mc:Choice Requires="wps">
          <w:drawing>
            <wp:anchor distT="0" distB="0" distL="114300" distR="114300" simplePos="0" relativeHeight="251659264" behindDoc="0" locked="0" layoutInCell="1" allowOverlap="1" wp14:anchorId="7D6FC514" wp14:editId="43E89291">
              <wp:simplePos x="0" y="0"/>
              <wp:positionH relativeFrom="page">
                <wp:posOffset>648335</wp:posOffset>
              </wp:positionH>
              <wp:positionV relativeFrom="page">
                <wp:posOffset>10189210</wp:posOffset>
              </wp:positionV>
              <wp:extent cx="2515870" cy="228600"/>
              <wp:effectExtent l="0" t="0" r="0" b="0"/>
              <wp:wrapNone/>
              <wp:docPr id="1"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158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88C0A" w14:textId="77777777" w:rsidR="00000000" w:rsidRPr="00A41D0D" w:rsidRDefault="00000000">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12"/>
                              <w:szCs w:val="12"/>
                            </w:rPr>
                          </w:pPr>
                          <w:r w:rsidRPr="00A41D0D">
                            <w:rPr>
                              <w:color w:val="000000"/>
                              <w:sz w:val="12"/>
                              <w:szCs w:val="12"/>
                            </w:rPr>
                            <w:t>® Registered trademark of the International Electrotechnical Commission</w:t>
                          </w:r>
                        </w:p>
                      </w:txbxContent>
                    </wps:txbx>
                    <wps:bodyPr rot="0" vert="horz" wrap="none" lIns="18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FC514" id="_x0000_t202" coordsize="21600,21600" o:spt="202" path="m,l,21600r21600,l21600,xe">
              <v:stroke joinstyle="miter"/>
              <v:path gradientshapeok="t" o:connecttype="rect"/>
            </v:shapetype>
            <v:shape id="Text Box 6" o:spid="_x0000_s1026" type="#_x0000_t202" style="position:absolute;margin-left:51.05pt;margin-top:802.3pt;width:198.1pt;height:18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" filled="f" stroked="f">
              <o:lock v:ext="edit" aspectratio="t"/>
              <v:textbox inset=".5mm,,1mm">
                <w:txbxContent>
                  <w:p w14:paraId="0EC88C0A" w14:textId="77777777" w:rsidR="00000000" w:rsidRPr="00A41D0D" w:rsidRDefault="00000000">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12"/>
                        <w:szCs w:val="12"/>
                      </w:rPr>
                    </w:pPr>
                    <w:r w:rsidRPr="00A41D0D">
                      <w:rPr>
                        <w:color w:val="000000"/>
                        <w:sz w:val="12"/>
                        <w:szCs w:val="12"/>
                      </w:rPr>
                      <w:t>® Registered trademark of the International Electrotechnical Commission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99B8"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36"/>
    <w:multiLevelType w:val="hybridMultilevel"/>
    <w:tmpl w:val="AE184FB2"/>
    <w:lvl w:ilvl="0" w:tplc="4FF4BC4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1C7C45"/>
    <w:multiLevelType w:val="hybridMultilevel"/>
    <w:tmpl w:val="4CA0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D2FC0"/>
    <w:multiLevelType w:val="hybridMultilevel"/>
    <w:tmpl w:val="29AC0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4509F"/>
    <w:multiLevelType w:val="hybridMultilevel"/>
    <w:tmpl w:val="4332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C389E"/>
    <w:multiLevelType w:val="hybridMultilevel"/>
    <w:tmpl w:val="A810EEC6"/>
    <w:lvl w:ilvl="0" w:tplc="4FF4BC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448367">
    <w:abstractNumId w:val="0"/>
  </w:num>
  <w:num w:numId="2" w16cid:durableId="503396321">
    <w:abstractNumId w:val="4"/>
  </w:num>
  <w:num w:numId="3" w16cid:durableId="1133134626">
    <w:abstractNumId w:val="1"/>
  </w:num>
  <w:num w:numId="4" w16cid:durableId="1874729276">
    <w:abstractNumId w:val="2"/>
  </w:num>
  <w:num w:numId="5" w16cid:durableId="1193154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3"/>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40"/>
    <w:rsid w:val="00107A31"/>
    <w:rsid w:val="001D3AF5"/>
    <w:rsid w:val="003164D9"/>
    <w:rsid w:val="005B4C41"/>
    <w:rsid w:val="006B7ED0"/>
    <w:rsid w:val="00A956AB"/>
    <w:rsid w:val="00AE24F9"/>
    <w:rsid w:val="00E338F1"/>
    <w:rsid w:val="00F6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D4329"/>
  <w15:chartTrackingRefBased/>
  <w15:docId w15:val="{40E75FE9-7F23-4244-A561-F483C932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6B7ED0"/>
    <w:pPr>
      <w:keepNext/>
      <w:spacing w:before="240" w:after="60"/>
      <w:outlineLvl w:val="0"/>
    </w:pPr>
    <w:rPr>
      <w:rFonts w:ascii="Arial" w:eastAsia="Times New Roman" w:hAnsi="Arial" w:cs="Arial"/>
      <w:b/>
      <w:bCs/>
      <w:kern w:val="28"/>
      <w:sz w:val="20"/>
      <w:szCs w:val="20"/>
      <w:lang w:val="en-GB"/>
    </w:rPr>
  </w:style>
  <w:style w:type="paragraph" w:styleId="Heading2">
    <w:name w:val="heading 2"/>
    <w:basedOn w:val="Normal"/>
    <w:next w:val="Normal"/>
    <w:link w:val="Heading2Char"/>
    <w:qFormat/>
    <w:rsid w:val="006B7ED0"/>
    <w:pPr>
      <w:keepNext/>
      <w:spacing w:before="240" w:after="60"/>
      <w:outlineLvl w:val="1"/>
    </w:pPr>
    <w:rPr>
      <w:rFonts w:ascii="Arial" w:eastAsia="Times New Roman" w:hAnsi="Arial" w:cs="Arial"/>
      <w:b/>
      <w:bCs/>
      <w:sz w:val="20"/>
      <w:szCs w:val="20"/>
      <w:lang w:val="en-GB"/>
    </w:rPr>
  </w:style>
  <w:style w:type="paragraph" w:styleId="Heading5">
    <w:name w:val="heading 5"/>
    <w:basedOn w:val="Normal"/>
    <w:next w:val="Normal"/>
    <w:link w:val="Heading5Char"/>
    <w:qFormat/>
    <w:rsid w:val="006B7ED0"/>
    <w:pPr>
      <w:keepNext/>
      <w:tabs>
        <w:tab w:val="left" w:pos="1134"/>
      </w:tabs>
      <w:outlineLvl w:val="4"/>
    </w:pPr>
    <w:rPr>
      <w:rFonts w:ascii="Arial" w:eastAsia="Times New Roman"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E40"/>
    <w:pPr>
      <w:spacing w:after="160" w:line="259" w:lineRule="auto"/>
      <w:ind w:left="720"/>
      <w:contextualSpacing/>
    </w:pPr>
    <w:rPr>
      <w:rFonts w:ascii="Calibri" w:eastAsia="Calibri" w:hAnsi="Calibri"/>
      <w:kern w:val="2"/>
      <w:sz w:val="22"/>
      <w:szCs w:val="22"/>
      <w:lang w:eastAsia="en-US"/>
    </w:rPr>
  </w:style>
  <w:style w:type="character" w:styleId="Hyperlink">
    <w:name w:val="Hyperlink"/>
    <w:uiPriority w:val="99"/>
    <w:unhideWhenUsed/>
    <w:rsid w:val="00F66E40"/>
    <w:rPr>
      <w:color w:val="0563C1"/>
      <w:u w:val="single"/>
    </w:rPr>
  </w:style>
  <w:style w:type="character" w:customStyle="1" w:styleId="Heading1Char">
    <w:name w:val="Heading 1 Char"/>
    <w:basedOn w:val="DefaultParagraphFont"/>
    <w:link w:val="Heading1"/>
    <w:rsid w:val="006B7ED0"/>
    <w:rPr>
      <w:rFonts w:ascii="Arial" w:eastAsia="Times New Roman" w:hAnsi="Arial" w:cs="Arial"/>
      <w:b/>
      <w:bCs/>
      <w:kern w:val="28"/>
      <w:lang w:val="en-GB" w:eastAsia="zh-CN"/>
    </w:rPr>
  </w:style>
  <w:style w:type="character" w:customStyle="1" w:styleId="Heading2Char">
    <w:name w:val="Heading 2 Char"/>
    <w:basedOn w:val="DefaultParagraphFont"/>
    <w:link w:val="Heading2"/>
    <w:rsid w:val="006B7ED0"/>
    <w:rPr>
      <w:rFonts w:ascii="Arial" w:eastAsia="Times New Roman" w:hAnsi="Arial" w:cs="Arial"/>
      <w:b/>
      <w:bCs/>
      <w:lang w:val="en-GB" w:eastAsia="zh-CN"/>
    </w:rPr>
  </w:style>
  <w:style w:type="character" w:customStyle="1" w:styleId="Heading5Char">
    <w:name w:val="Heading 5 Char"/>
    <w:basedOn w:val="DefaultParagraphFont"/>
    <w:link w:val="Heading5"/>
    <w:rsid w:val="006B7ED0"/>
    <w:rPr>
      <w:rFonts w:ascii="Arial" w:eastAsia="Times New Roman" w:hAnsi="Arial" w:cs="Arial"/>
      <w:b/>
      <w:bCs/>
      <w:sz w:val="22"/>
      <w:szCs w:val="22"/>
      <w:lang w:val="en-GB" w:eastAsia="zh-CN"/>
    </w:rPr>
  </w:style>
  <w:style w:type="paragraph" w:styleId="Footer">
    <w:name w:val="footer"/>
    <w:basedOn w:val="Normal"/>
    <w:link w:val="FooterChar"/>
    <w:rsid w:val="006B7ED0"/>
    <w:pPr>
      <w:tabs>
        <w:tab w:val="center" w:pos="4536"/>
        <w:tab w:val="right" w:pos="9072"/>
      </w:tabs>
    </w:pPr>
    <w:rPr>
      <w:rFonts w:ascii="Arial" w:eastAsia="Times New Roman" w:hAnsi="Arial" w:cs="Arial"/>
      <w:sz w:val="20"/>
      <w:szCs w:val="20"/>
      <w:lang w:val="en-GB"/>
    </w:rPr>
  </w:style>
  <w:style w:type="character" w:customStyle="1" w:styleId="FooterChar">
    <w:name w:val="Footer Char"/>
    <w:basedOn w:val="DefaultParagraphFont"/>
    <w:link w:val="Footer"/>
    <w:rsid w:val="006B7ED0"/>
    <w:rPr>
      <w:rFonts w:ascii="Arial" w:eastAsia="Times New Roman" w:hAnsi="Arial" w:cs="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offreyibbott/Library/Mobile%20Documents/com~apple~CloudDocs/IEC%20Documents/TAG:WG%20minutes:reports/2024-09-16%20Washington%20DC/individ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individual.dot</Template>
  <TotalTime>2</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Reported by (Name):</vt:lpstr>
    </vt:vector>
  </TitlesOfParts>
  <Company>aapm</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Reported by (Name):</dc:title>
  <dc:subject/>
  <dc:creator>Microsoft Office User</dc:creator>
  <cp:keywords/>
  <dc:description/>
  <cp:lastModifiedBy>Geoffrey Ibbott</cp:lastModifiedBy>
  <cp:revision>3</cp:revision>
  <dcterms:created xsi:type="dcterms:W3CDTF">2025-05-19T21:13:00Z</dcterms:created>
  <dcterms:modified xsi:type="dcterms:W3CDTF">2025-05-19T21:15:00Z</dcterms:modified>
</cp:coreProperties>
</file>