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76"/>
        <w:gridCol w:w="5354"/>
      </w:tblGrid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Reported by (Name):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A72EC0">
            <w:pPr>
              <w:rPr>
                <w:b/>
              </w:rPr>
            </w:pPr>
            <w:r>
              <w:rPr>
                <w:b/>
              </w:rPr>
              <w:t>Geoffrey S. Ibbott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 xml:space="preserve">Organization: 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A72EC0">
            <w:pPr>
              <w:rPr>
                <w:b/>
              </w:rPr>
            </w:pPr>
            <w:r>
              <w:rPr>
                <w:b/>
              </w:rPr>
              <w:t>International Electrotechnical Commission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Position Title: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A72EC0">
            <w:pPr>
              <w:rPr>
                <w:b/>
              </w:rPr>
            </w:pPr>
            <w:proofErr w:type="spellStart"/>
            <w:r>
              <w:rPr>
                <w:b/>
              </w:rPr>
              <w:t>Convenor</w:t>
            </w:r>
            <w:proofErr w:type="spellEnd"/>
            <w:r>
              <w:rPr>
                <w:b/>
              </w:rPr>
              <w:t>, Working Group 1 of IEC Subcommittee 62C; Technical Advisor to US National Committee; Chair, US Technical Advisory Group (TAG) for 62C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Activity: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A72EC0">
            <w:pPr>
              <w:rPr>
                <w:b/>
              </w:rPr>
            </w:pPr>
            <w:r>
              <w:rPr>
                <w:b/>
              </w:rPr>
              <w:t>Routine report</w:t>
            </w:r>
          </w:p>
        </w:tc>
      </w:tr>
      <w:tr w:rsidR="00E338F1">
        <w:trPr>
          <w:trHeight w:val="260"/>
        </w:trPr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Dates: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A72EC0">
            <w:pPr>
              <w:rPr>
                <w:b/>
              </w:rPr>
            </w:pPr>
            <w:r>
              <w:rPr>
                <w:b/>
              </w:rPr>
              <w:t>See report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Location: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A72EC0">
            <w:pPr>
              <w:rPr>
                <w:b/>
              </w:rPr>
            </w:pPr>
            <w:r>
              <w:rPr>
                <w:b/>
              </w:rPr>
              <w:t>See report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Payment $: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A72EC0">
            <w:pPr>
              <w:rPr>
                <w:b/>
              </w:rPr>
            </w:pPr>
            <w:r>
              <w:rPr>
                <w:b/>
              </w:rPr>
              <w:t>None in 2020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Reasons for Attending or not Attending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A72EC0">
            <w:pPr>
              <w:rPr>
                <w:b/>
              </w:rPr>
            </w:pPr>
            <w:r>
              <w:rPr>
                <w:b/>
              </w:rPr>
              <w:t>Attended all meetings (since March 2020, all meetings have been virtual)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from Previous Meetings or Year: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A72EC0">
            <w:pPr>
              <w:rPr>
                <w:b/>
              </w:rPr>
            </w:pPr>
            <w:r>
              <w:rPr>
                <w:b/>
              </w:rPr>
              <w:t>See report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General Description of Activities of the Organization and/or Meeting: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A72EC0">
            <w:pPr>
              <w:rPr>
                <w:b/>
              </w:rPr>
            </w:pPr>
            <w:r>
              <w:rPr>
                <w:b/>
              </w:rPr>
              <w:t>The IEC publishes standards addressing the safety and performance of electrical equipment. Subcommittee 62C specifically addresses equipment for radiotherapy, nuclear medicine and radiation dosimetry.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for AAPM: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A72EC0">
            <w:pPr>
              <w:rPr>
                <w:b/>
              </w:rPr>
            </w:pPr>
            <w:r>
              <w:rPr>
                <w:b/>
              </w:rPr>
              <w:t>No major issues. As indicated, several significant developments are under way.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Budget Request ($):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A72EC0">
            <w:pPr>
              <w:rPr>
                <w:b/>
              </w:rPr>
            </w:pPr>
            <w:r>
              <w:rPr>
                <w:b/>
              </w:rPr>
              <w:t>Included with WGIEC</w:t>
            </w:r>
          </w:p>
        </w:tc>
      </w:tr>
    </w:tbl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A72EC0" w:rsidRDefault="00A72EC0" w:rsidP="00A72EC0">
      <w:pPr>
        <w:spacing w:before="120" w:after="120"/>
        <w:rPr>
          <w:b/>
          <w:sz w:val="22"/>
        </w:rPr>
      </w:pPr>
      <w:r>
        <w:rPr>
          <w:b/>
          <w:sz w:val="22"/>
        </w:rPr>
        <w:t>INTERNATIONAL ELECTROTECHNICAL COMMISSION</w:t>
      </w:r>
    </w:p>
    <w:p w:rsidR="00A72EC0" w:rsidRDefault="00A72EC0" w:rsidP="00A72EC0">
      <w:pPr>
        <w:spacing w:before="120"/>
        <w:ind w:left="360" w:hanging="360"/>
        <w:rPr>
          <w:b/>
          <w:sz w:val="22"/>
        </w:rPr>
      </w:pPr>
      <w:r>
        <w:rPr>
          <w:b/>
          <w:sz w:val="22"/>
        </w:rPr>
        <w:t xml:space="preserve">Notes from meetings related to Technical Committee 62; </w:t>
      </w:r>
      <w:r>
        <w:rPr>
          <w:b/>
          <w:sz w:val="22"/>
        </w:rPr>
        <w:br/>
        <w:t>Subcommittee 62 C, Working Group 1, held Feb 3-5, 2020 in Best, The Netherlands</w:t>
      </w:r>
      <w:r>
        <w:rPr>
          <w:b/>
          <w:sz w:val="22"/>
        </w:rPr>
        <w:br/>
        <w:t>US-TAG (62 C) virtual meeting held April 2-3, 2020 in Palo Alto, California</w:t>
      </w:r>
    </w:p>
    <w:p w:rsidR="00A72EC0" w:rsidRDefault="00A72EC0" w:rsidP="00A72EC0">
      <w:pPr>
        <w:jc w:val="both"/>
        <w:rPr>
          <w:sz w:val="22"/>
          <w:szCs w:val="22"/>
        </w:rPr>
      </w:pPr>
    </w:p>
    <w:p w:rsidR="00A72EC0" w:rsidRPr="00C47240" w:rsidRDefault="00A72EC0" w:rsidP="00A72EC0">
      <w:pPr>
        <w:contextualSpacing/>
        <w:jc w:val="both"/>
        <w:rPr>
          <w:b/>
          <w:sz w:val="22"/>
          <w:szCs w:val="22"/>
        </w:rPr>
      </w:pPr>
    </w:p>
    <w:p w:rsidR="00A72EC0" w:rsidRDefault="00A72EC0" w:rsidP="00A72EC0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Working Group 1 of Subcommittee 62C</w:t>
      </w:r>
    </w:p>
    <w:p w:rsidR="00A72EC0" w:rsidRDefault="00A72EC0" w:rsidP="00A72EC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b/>
          <w:sz w:val="22"/>
          <w:szCs w:val="22"/>
        </w:rPr>
      </w:pPr>
    </w:p>
    <w:p w:rsidR="00A72EC0" w:rsidRPr="00081EC3" w:rsidRDefault="00A72EC0" w:rsidP="00A72EC0">
      <w:pPr>
        <w:ind w:left="270"/>
        <w:contextualSpacing/>
        <w:jc w:val="both"/>
        <w:rPr>
          <w:b/>
          <w:sz w:val="22"/>
          <w:szCs w:val="22"/>
        </w:rPr>
      </w:pPr>
      <w:r w:rsidRPr="00081EC3">
        <w:rPr>
          <w:b/>
          <w:sz w:val="22"/>
          <w:szCs w:val="22"/>
        </w:rPr>
        <w:t>Current projects</w:t>
      </w:r>
    </w:p>
    <w:p w:rsidR="00A72EC0" w:rsidRDefault="00A72EC0" w:rsidP="00A72EC0">
      <w:pPr>
        <w:ind w:left="284"/>
        <w:jc w:val="both"/>
        <w:rPr>
          <w:sz w:val="22"/>
          <w:szCs w:val="22"/>
        </w:rPr>
      </w:pPr>
    </w:p>
    <w:p w:rsidR="00A72EC0" w:rsidRDefault="00A72EC0" w:rsidP="00A72EC0">
      <w:pPr>
        <w:pStyle w:val="ListParagraph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 w:hanging="283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IEC 60601-2-1 Ed4, </w:t>
      </w:r>
      <w:proofErr w:type="spellStart"/>
      <w:r>
        <w:rPr>
          <w:rFonts w:cs="Arial"/>
          <w:sz w:val="22"/>
          <w:szCs w:val="22"/>
        </w:rPr>
        <w:t>Linac</w:t>
      </w:r>
      <w:proofErr w:type="spellEnd"/>
      <w:r>
        <w:rPr>
          <w:rFonts w:cs="Arial"/>
          <w:sz w:val="22"/>
          <w:szCs w:val="22"/>
        </w:rPr>
        <w:t xml:space="preserve"> Safety: The 4</w:t>
      </w:r>
      <w:r w:rsidRPr="007B3B67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edition addresses recent major developments in </w:t>
      </w:r>
      <w:proofErr w:type="spellStart"/>
      <w:r>
        <w:rPr>
          <w:rFonts w:cs="Arial"/>
          <w:sz w:val="22"/>
          <w:szCs w:val="22"/>
        </w:rPr>
        <w:t>linac</w:t>
      </w:r>
      <w:proofErr w:type="spellEnd"/>
      <w:r>
        <w:rPr>
          <w:rFonts w:cs="Arial"/>
          <w:sz w:val="22"/>
          <w:szCs w:val="22"/>
        </w:rPr>
        <w:t xml:space="preserve"> design and use.  An FDIS was </w:t>
      </w:r>
      <w:proofErr w:type="spellStart"/>
      <w:r>
        <w:rPr>
          <w:rFonts w:cs="Arial"/>
          <w:sz w:val="22"/>
          <w:szCs w:val="22"/>
        </w:rPr>
        <w:t>was</w:t>
      </w:r>
      <w:proofErr w:type="spellEnd"/>
      <w:r>
        <w:rPr>
          <w:rFonts w:cs="Arial"/>
          <w:sz w:val="22"/>
          <w:szCs w:val="22"/>
        </w:rPr>
        <w:t xml:space="preserve"> prepared and will be distributed by Central Office in September.</w:t>
      </w:r>
    </w:p>
    <w:p w:rsidR="00A72EC0" w:rsidRDefault="00A72EC0" w:rsidP="00A72EC0">
      <w:pPr>
        <w:pStyle w:val="ListParagraph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 w:hanging="283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IEC 62083 Ed2, Treatment Planning System Safety: A CD was circulated in September 2019 and many comments were discussed at the WG 1 meeting in Shanghai. Several National Committees, including the US, provided their comments directly to the primary author. A virtual meeting to discuss the remaining comments will be held in August 2020. A decision whether or not to proceed to a CDV will be made at that time.</w:t>
      </w:r>
    </w:p>
    <w:p w:rsidR="00A72EC0" w:rsidRDefault="00A72EC0" w:rsidP="00A72EC0">
      <w:pPr>
        <w:pStyle w:val="ListParagraph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 w:hanging="283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IEC 61217 Ed3, Coordinates and Scales: National committees approved this project via 62C/695/DC. A preliminary draft was circulated in mid 2019. The US TAG commented further at its Spring 2020 meeting, and Ibbott will prepare a new pre-CD draft in the summer of 2020.</w:t>
      </w:r>
    </w:p>
    <w:p w:rsidR="00A72EC0" w:rsidRDefault="00A72EC0" w:rsidP="00A72EC0">
      <w:pPr>
        <w:pStyle w:val="ListParagraph"/>
        <w:keepNext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8" w:hanging="284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TR 63321, IGRT Performance: A proposal for an IGRT performance standard was approved and a CD is expected in Dec 2020.</w:t>
      </w:r>
    </w:p>
    <w:p w:rsidR="00A72EC0" w:rsidRDefault="00A72EC0" w:rsidP="00A72EC0">
      <w:pPr>
        <w:pStyle w:val="ListParagraph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 w:hanging="283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IEC 63322, </w:t>
      </w:r>
      <w:r w:rsidRPr="00A36B26">
        <w:rPr>
          <w:rFonts w:cs="Arial"/>
          <w:sz w:val="22"/>
          <w:szCs w:val="22"/>
        </w:rPr>
        <w:t xml:space="preserve">Radioactive Source Security:  The Swedish </w:t>
      </w:r>
      <w:r>
        <w:rPr>
          <w:rFonts w:cs="Arial"/>
          <w:sz w:val="22"/>
          <w:szCs w:val="22"/>
        </w:rPr>
        <w:t>national committee submitted</w:t>
      </w:r>
      <w:r w:rsidRPr="00A36B2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</w:t>
      </w:r>
      <w:r w:rsidRPr="00A36B26">
        <w:rPr>
          <w:rFonts w:cs="Arial"/>
          <w:sz w:val="22"/>
          <w:szCs w:val="22"/>
        </w:rPr>
        <w:t xml:space="preserve">formal </w:t>
      </w:r>
      <w:r>
        <w:rPr>
          <w:rFonts w:cs="Arial"/>
          <w:sz w:val="22"/>
          <w:szCs w:val="22"/>
        </w:rPr>
        <w:t xml:space="preserve">new work item </w:t>
      </w:r>
      <w:r w:rsidRPr="00A36B26">
        <w:rPr>
          <w:rFonts w:cs="Arial"/>
          <w:sz w:val="22"/>
          <w:szCs w:val="22"/>
        </w:rPr>
        <w:t xml:space="preserve">proposal </w:t>
      </w:r>
      <w:r>
        <w:rPr>
          <w:rFonts w:cs="Arial"/>
          <w:sz w:val="22"/>
          <w:szCs w:val="22"/>
        </w:rPr>
        <w:t>which was approved</w:t>
      </w:r>
      <w:r w:rsidRPr="00A36B26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An initial virtual meeting was held in the Spring and the next meeting is scheduled for July 2020. A CD is expected by Dec 2020.</w:t>
      </w:r>
    </w:p>
    <w:p w:rsidR="00A72EC0" w:rsidRDefault="00A72EC0" w:rsidP="00A72EC0">
      <w:pPr>
        <w:pStyle w:val="ListParagraph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 w:hanging="283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IEC 60601-2-64, Light Ion Safety. The Japanese national committee submitted a proposal for several amendments regarding the measurement of leakage neutrons, among other issues. This proposal is expected to be circulated as a DC/Q document in the Summer 2020.</w:t>
      </w:r>
    </w:p>
    <w:p w:rsidR="00A72EC0" w:rsidRDefault="00A72EC0" w:rsidP="00A72EC0">
      <w:pPr>
        <w:pStyle w:val="ListParagraph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 w:hanging="283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IEC 60601-2-68 </w:t>
      </w:r>
      <w:proofErr w:type="spellStart"/>
      <w:r>
        <w:rPr>
          <w:rFonts w:cs="Arial"/>
          <w:sz w:val="22"/>
          <w:szCs w:val="22"/>
        </w:rPr>
        <w:t>Amd</w:t>
      </w:r>
      <w:proofErr w:type="spellEnd"/>
      <w:r>
        <w:rPr>
          <w:rFonts w:cs="Arial"/>
          <w:sz w:val="22"/>
          <w:szCs w:val="22"/>
        </w:rPr>
        <w:t xml:space="preserve"> 1, IGRT Safety: The WG considers that an amendment is required urgently to correct gaps and problems in the X-IGRT standard. A questionnaire was </w:t>
      </w:r>
      <w:proofErr w:type="gramStart"/>
      <w:r>
        <w:rPr>
          <w:rFonts w:cs="Arial"/>
          <w:sz w:val="22"/>
          <w:szCs w:val="22"/>
        </w:rPr>
        <w:t>approved</w:t>
      </w:r>
      <w:proofErr w:type="gramEnd"/>
      <w:r>
        <w:rPr>
          <w:rFonts w:cs="Arial"/>
          <w:sz w:val="22"/>
          <w:szCs w:val="22"/>
        </w:rPr>
        <w:t xml:space="preserve"> and work is progressing.</w:t>
      </w:r>
    </w:p>
    <w:p w:rsidR="00A72EC0" w:rsidRDefault="00A72EC0" w:rsidP="00A72EC0">
      <w:pPr>
        <w:pStyle w:val="ListParagraph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 w:hanging="283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IEC 60601-2-XX, MR-IGRT Safety: A companion standard to -2-68 will address MR-IGRT. A draft was </w:t>
      </w:r>
      <w:proofErr w:type="gramStart"/>
      <w:r>
        <w:rPr>
          <w:rFonts w:cs="Arial"/>
          <w:sz w:val="22"/>
          <w:szCs w:val="22"/>
        </w:rPr>
        <w:t>prepared</w:t>
      </w:r>
      <w:proofErr w:type="gramEnd"/>
      <w:r>
        <w:rPr>
          <w:rFonts w:cs="Arial"/>
          <w:sz w:val="22"/>
          <w:szCs w:val="22"/>
        </w:rPr>
        <w:t xml:space="preserve"> and the working party met in Feb 2020 to make further progress.</w:t>
      </w:r>
    </w:p>
    <w:p w:rsidR="00A72EC0" w:rsidRDefault="00A72EC0" w:rsidP="00A72EC0">
      <w:pPr>
        <w:pStyle w:val="ListParagraph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 w:hanging="283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IEC 62274, Record and Verify Systems: A draft NWIP and a questionnaire were distributed and approved. The title of the standard will be changed to “Safety of Radiotherapy Treatment Management Systems.”</w:t>
      </w:r>
    </w:p>
    <w:p w:rsidR="00A72EC0" w:rsidRDefault="00A72EC0" w:rsidP="00A72EC0">
      <w:pPr>
        <w:pStyle w:val="ListParagraph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 w:hanging="283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IEC 60976/60977, Linear Accelerator Performance: A revision per the 4th edition of IEC 60601-2-1 will be proposed. </w:t>
      </w:r>
    </w:p>
    <w:p w:rsidR="00A72EC0" w:rsidRPr="00A36B26" w:rsidRDefault="00A72EC0" w:rsidP="00A72EC0">
      <w:pPr>
        <w:pStyle w:val="ListParagraph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 w:hanging="283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IEC 60601-2-29 Ed2, Simulator Safety: We will consider a revision or expansion for CT sim and MR sim. We will plan to collaborate with 62B. The project will be proposed after publication of 60601-2-1 Ed4.</w:t>
      </w:r>
      <w:r w:rsidRPr="00A36B26">
        <w:rPr>
          <w:rFonts w:cs="Arial"/>
          <w:sz w:val="22"/>
          <w:szCs w:val="22"/>
        </w:rPr>
        <w:t xml:space="preserve"> </w:t>
      </w:r>
    </w:p>
    <w:p w:rsidR="00A72EC0" w:rsidRDefault="00A72EC0" w:rsidP="00A72EC0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sz w:val="22"/>
          <w:szCs w:val="22"/>
        </w:rPr>
      </w:pPr>
    </w:p>
    <w:p w:rsidR="00A72EC0" w:rsidRPr="00081EC3" w:rsidRDefault="00A72EC0" w:rsidP="00A72EC0">
      <w:pPr>
        <w:ind w:left="27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Recent publications</w:t>
      </w:r>
    </w:p>
    <w:p w:rsidR="00A72EC0" w:rsidRDefault="00A72EC0" w:rsidP="00A72EC0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sz w:val="22"/>
          <w:szCs w:val="22"/>
        </w:rPr>
      </w:pPr>
    </w:p>
    <w:p w:rsidR="00A72EC0" w:rsidRDefault="00A72EC0" w:rsidP="00A72EC0">
      <w:pPr>
        <w:pStyle w:val="ListParagraph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TR 63183, Error Messages: Published 12/2019.</w:t>
      </w:r>
    </w:p>
    <w:p w:rsidR="00A72EC0" w:rsidRPr="00081EC3" w:rsidRDefault="00A72EC0" w:rsidP="00A72EC0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sz w:val="22"/>
          <w:szCs w:val="22"/>
        </w:rPr>
      </w:pPr>
    </w:p>
    <w:p w:rsidR="00A72EC0" w:rsidRDefault="00A72EC0" w:rsidP="00A72EC0">
      <w:pPr>
        <w:ind w:left="284"/>
        <w:jc w:val="both"/>
        <w:rPr>
          <w:sz w:val="22"/>
          <w:szCs w:val="22"/>
        </w:rPr>
      </w:pPr>
    </w:p>
    <w:p w:rsidR="00A72EC0" w:rsidRDefault="00A72EC0" w:rsidP="00A72EC0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Working Group 2 of Subcommittee 62 C</w:t>
      </w:r>
    </w:p>
    <w:p w:rsidR="00A72EC0" w:rsidRDefault="00A72EC0" w:rsidP="00A72EC0">
      <w:pPr>
        <w:ind w:left="1080"/>
        <w:contextualSpacing/>
        <w:jc w:val="both"/>
        <w:rPr>
          <w:b/>
          <w:sz w:val="22"/>
          <w:szCs w:val="22"/>
        </w:rPr>
      </w:pPr>
    </w:p>
    <w:p w:rsidR="00A72EC0" w:rsidRDefault="00A72EC0" w:rsidP="00A72EC0">
      <w:pPr>
        <w:ind w:left="27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Current projects</w:t>
      </w:r>
    </w:p>
    <w:p w:rsidR="00A72EC0" w:rsidRPr="00B872D2" w:rsidRDefault="00A72EC0" w:rsidP="00A72EC0">
      <w:pPr>
        <w:pStyle w:val="ListParagraph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IEC 61675-1 3</w:t>
      </w:r>
      <w:r w:rsidRPr="00B872D2">
        <w:rPr>
          <w:rFonts w:cs="Arial"/>
          <w:sz w:val="22"/>
          <w:szCs w:val="22"/>
        </w:rPr>
        <w:t>rd</w:t>
      </w:r>
      <w:r>
        <w:rPr>
          <w:rFonts w:cs="Arial"/>
          <w:sz w:val="22"/>
          <w:szCs w:val="22"/>
        </w:rPr>
        <w:t xml:space="preserve"> Ed: </w:t>
      </w:r>
      <w:r w:rsidRPr="00B872D2">
        <w:rPr>
          <w:rFonts w:cs="Arial"/>
          <w:sz w:val="22"/>
          <w:szCs w:val="22"/>
        </w:rPr>
        <w:t xml:space="preserve">Radionuclide imaging devices - Characteristics and test conditions - Part 1: Positron emission </w:t>
      </w:r>
      <w:proofErr w:type="spellStart"/>
      <w:r w:rsidRPr="00B872D2">
        <w:rPr>
          <w:rFonts w:cs="Arial"/>
          <w:sz w:val="22"/>
          <w:szCs w:val="22"/>
        </w:rPr>
        <w:t>tomographs</w:t>
      </w:r>
      <w:proofErr w:type="spellEnd"/>
      <w:r>
        <w:rPr>
          <w:rFonts w:cs="Arial"/>
          <w:sz w:val="22"/>
          <w:szCs w:val="22"/>
        </w:rPr>
        <w:t>. Project approved in July 2020, 1</w:t>
      </w:r>
      <w:r w:rsidRPr="00B872D2">
        <w:rPr>
          <w:rFonts w:cs="Arial"/>
          <w:sz w:val="22"/>
          <w:szCs w:val="22"/>
          <w:vertAlign w:val="superscript"/>
        </w:rPr>
        <w:t>st</w:t>
      </w:r>
      <w:r>
        <w:rPr>
          <w:rFonts w:cs="Arial"/>
          <w:sz w:val="22"/>
          <w:szCs w:val="22"/>
        </w:rPr>
        <w:t xml:space="preserve"> CD also circulated July 2020.</w:t>
      </w:r>
    </w:p>
    <w:p w:rsidR="00A72EC0" w:rsidRPr="0029159D" w:rsidRDefault="00A72EC0" w:rsidP="00A72EC0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IEC 63073-1 1</w:t>
      </w:r>
      <w:r w:rsidRPr="0029159D">
        <w:rPr>
          <w:rFonts w:cs="Arial"/>
          <w:sz w:val="22"/>
          <w:szCs w:val="22"/>
          <w:vertAlign w:val="superscript"/>
        </w:rPr>
        <w:t>st</w:t>
      </w:r>
      <w:r>
        <w:rPr>
          <w:rFonts w:cs="Arial"/>
          <w:sz w:val="22"/>
          <w:szCs w:val="22"/>
        </w:rPr>
        <w:t xml:space="preserve"> Ed: </w:t>
      </w:r>
      <w:r w:rsidRPr="0029159D">
        <w:rPr>
          <w:rFonts w:cs="Arial"/>
          <w:sz w:val="22"/>
          <w:szCs w:val="22"/>
        </w:rPr>
        <w:t>Dedicated Radionuclide Imaging Devices - Characteristics and Test Conditions - Part 1: Cardiac SPECT</w:t>
      </w:r>
      <w:r>
        <w:rPr>
          <w:rFonts w:cs="Arial"/>
          <w:sz w:val="22"/>
          <w:szCs w:val="22"/>
        </w:rPr>
        <w:t>. A CDV is currently in preparation.</w:t>
      </w:r>
    </w:p>
    <w:p w:rsidR="00A72EC0" w:rsidRDefault="00A72EC0" w:rsidP="00A72EC0">
      <w:pPr>
        <w:ind w:left="1080"/>
        <w:contextualSpacing/>
        <w:jc w:val="both"/>
        <w:rPr>
          <w:b/>
          <w:sz w:val="22"/>
          <w:szCs w:val="22"/>
        </w:rPr>
      </w:pPr>
    </w:p>
    <w:p w:rsidR="00A72EC0" w:rsidRPr="00B872D2" w:rsidRDefault="00A72EC0" w:rsidP="00A72EC0">
      <w:pPr>
        <w:ind w:left="270"/>
        <w:contextualSpacing/>
        <w:jc w:val="both"/>
        <w:rPr>
          <w:b/>
          <w:sz w:val="22"/>
          <w:szCs w:val="22"/>
        </w:rPr>
      </w:pPr>
      <w:r w:rsidRPr="00B872D2">
        <w:rPr>
          <w:b/>
          <w:sz w:val="22"/>
          <w:szCs w:val="22"/>
        </w:rPr>
        <w:t>Recent publications</w:t>
      </w:r>
    </w:p>
    <w:p w:rsidR="00A72EC0" w:rsidRPr="00B872D2" w:rsidRDefault="00A72EC0" w:rsidP="00A72EC0">
      <w:pPr>
        <w:pStyle w:val="ListParagraph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jc w:val="both"/>
        <w:rPr>
          <w:rFonts w:cs="Arial"/>
          <w:sz w:val="22"/>
          <w:szCs w:val="22"/>
        </w:rPr>
      </w:pPr>
      <w:r w:rsidRPr="00B872D2">
        <w:rPr>
          <w:rFonts w:cs="Arial"/>
          <w:sz w:val="22"/>
          <w:szCs w:val="22"/>
        </w:rPr>
        <w:lastRenderedPageBreak/>
        <w:t>IEC TR 61948-4</w:t>
      </w:r>
      <w:r>
        <w:rPr>
          <w:rFonts w:cs="Arial"/>
          <w:sz w:val="22"/>
          <w:szCs w:val="22"/>
        </w:rPr>
        <w:t>, 2</w:t>
      </w:r>
      <w:r w:rsidRPr="00B872D2">
        <w:rPr>
          <w:rFonts w:cs="Arial"/>
          <w:sz w:val="22"/>
          <w:szCs w:val="22"/>
          <w:vertAlign w:val="superscript"/>
        </w:rPr>
        <w:t>nd</w:t>
      </w:r>
      <w:r>
        <w:rPr>
          <w:rFonts w:cs="Arial"/>
          <w:sz w:val="22"/>
          <w:szCs w:val="22"/>
        </w:rPr>
        <w:t xml:space="preserve"> Ed</w:t>
      </w:r>
      <w:r w:rsidRPr="00B872D2">
        <w:rPr>
          <w:rFonts w:cs="Arial"/>
          <w:sz w:val="22"/>
          <w:szCs w:val="22"/>
        </w:rPr>
        <w:t>: Technical Report on Nuclear medicine instrumentation - Routine tests - Part 4: Radionuclide calibrators.</w:t>
      </w:r>
    </w:p>
    <w:p w:rsidR="00A72EC0" w:rsidRPr="00DF474D" w:rsidRDefault="00A72EC0" w:rsidP="00A72EC0">
      <w:pPr>
        <w:ind w:left="284"/>
        <w:jc w:val="both"/>
        <w:rPr>
          <w:b/>
          <w:sz w:val="22"/>
          <w:szCs w:val="22"/>
        </w:rPr>
      </w:pPr>
    </w:p>
    <w:p w:rsidR="00A72EC0" w:rsidRDefault="00A72EC0" w:rsidP="00A72EC0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Working group 3 of Subcommittee 62 C</w:t>
      </w:r>
    </w:p>
    <w:p w:rsidR="00A72EC0" w:rsidRDefault="00A72EC0" w:rsidP="00A72EC0">
      <w:pPr>
        <w:ind w:left="270"/>
        <w:contextualSpacing/>
        <w:jc w:val="both"/>
        <w:rPr>
          <w:b/>
          <w:sz w:val="22"/>
          <w:szCs w:val="22"/>
        </w:rPr>
      </w:pPr>
    </w:p>
    <w:p w:rsidR="00A72EC0" w:rsidRDefault="00A72EC0" w:rsidP="00A72EC0">
      <w:pPr>
        <w:ind w:left="27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Current projects</w:t>
      </w:r>
    </w:p>
    <w:p w:rsidR="00A72EC0" w:rsidRDefault="00A72EC0" w:rsidP="00A72EC0">
      <w:pPr>
        <w:pStyle w:val="BodyA"/>
        <w:numPr>
          <w:ilvl w:val="0"/>
          <w:numId w:val="3"/>
        </w:numPr>
      </w:pPr>
      <w:r w:rsidRPr="00D138CC">
        <w:rPr>
          <w:bCs/>
        </w:rPr>
        <w:t>IEC 60731: "Medical electrical equipment - Dosimeters with ionization chambers as used in radiotherapy"</w:t>
      </w:r>
      <w:r>
        <w:t xml:space="preserve"> </w:t>
      </w:r>
      <w:r>
        <w:rPr>
          <w:b/>
        </w:rPr>
        <w:t xml:space="preserve">Status: </w:t>
      </w:r>
      <w:r>
        <w:t xml:space="preserve">Working on drafting a new document in a small subgroup to address other detectors other than ion chambers (diodes, diamonds, scintillators, </w:t>
      </w:r>
      <w:proofErr w:type="spellStart"/>
      <w:r>
        <w:t>etc</w:t>
      </w:r>
      <w:proofErr w:type="spellEnd"/>
      <w:r>
        <w:t>). Wes is a part of this subgroup.</w:t>
      </w:r>
    </w:p>
    <w:p w:rsidR="00A72EC0" w:rsidRDefault="00A72EC0" w:rsidP="00A72EC0">
      <w:pPr>
        <w:ind w:left="270"/>
        <w:contextualSpacing/>
        <w:jc w:val="both"/>
        <w:rPr>
          <w:b/>
          <w:sz w:val="22"/>
          <w:szCs w:val="22"/>
        </w:rPr>
      </w:pPr>
    </w:p>
    <w:p w:rsidR="00A72EC0" w:rsidRPr="0029159D" w:rsidRDefault="00A72EC0" w:rsidP="00A72EC0">
      <w:pPr>
        <w:ind w:left="270"/>
        <w:contextualSpacing/>
        <w:jc w:val="both"/>
        <w:rPr>
          <w:b/>
          <w:sz w:val="22"/>
          <w:szCs w:val="22"/>
        </w:rPr>
      </w:pPr>
      <w:r w:rsidRPr="00B872D2">
        <w:rPr>
          <w:b/>
          <w:sz w:val="22"/>
          <w:szCs w:val="22"/>
        </w:rPr>
        <w:t>Recent publications</w:t>
      </w:r>
    </w:p>
    <w:p w:rsidR="00A72EC0" w:rsidRDefault="00A72EC0" w:rsidP="00A72EC0">
      <w:pPr>
        <w:pStyle w:val="BodyA"/>
        <w:numPr>
          <w:ilvl w:val="0"/>
          <w:numId w:val="7"/>
        </w:numPr>
      </w:pPr>
      <w:r>
        <w:t>IEC 60580 ED3: “Medical electrical equipment – Dose area product meters”.</w:t>
      </w:r>
    </w:p>
    <w:p w:rsidR="00A72EC0" w:rsidRDefault="00A72EC0" w:rsidP="00A72EC0">
      <w:pPr>
        <w:ind w:left="284"/>
        <w:jc w:val="both"/>
        <w:rPr>
          <w:sz w:val="22"/>
          <w:szCs w:val="22"/>
        </w:rPr>
      </w:pPr>
    </w:p>
    <w:p w:rsidR="00A72EC0" w:rsidRPr="0029159D" w:rsidRDefault="00A72EC0" w:rsidP="00A72EC0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contextualSpacing/>
        <w:jc w:val="both"/>
        <w:rPr>
          <w:b/>
          <w:sz w:val="22"/>
          <w:szCs w:val="22"/>
        </w:rPr>
      </w:pPr>
      <w:r w:rsidRPr="0029159D">
        <w:rPr>
          <w:b/>
          <w:sz w:val="22"/>
          <w:szCs w:val="22"/>
        </w:rPr>
        <w:t xml:space="preserve">Joint Ad-Hoc Group </w:t>
      </w:r>
      <w:r w:rsidRPr="0029159D">
        <w:rPr>
          <w:b/>
        </w:rPr>
        <w:t>between IEC/SC 62C, IEC/TC 45, and ISO/TC 85/SC 2</w:t>
      </w:r>
      <w:r>
        <w:rPr>
          <w:b/>
        </w:rPr>
        <w:t xml:space="preserve"> </w:t>
      </w:r>
      <w:r w:rsidRPr="0029159D">
        <w:rPr>
          <w:b/>
        </w:rPr>
        <w:t>on radionuclide calibrators/ionization chambers</w:t>
      </w:r>
      <w:r w:rsidRPr="0029159D">
        <w:rPr>
          <w:rFonts w:cs="Helvetica"/>
          <w:b/>
          <w:sz w:val="22"/>
          <w:szCs w:val="22"/>
        </w:rPr>
        <w:t xml:space="preserve"> </w:t>
      </w:r>
    </w:p>
    <w:p w:rsidR="00A72EC0" w:rsidRDefault="00A72EC0" w:rsidP="00A72EC0">
      <w:pPr>
        <w:ind w:left="284"/>
        <w:jc w:val="both"/>
        <w:rPr>
          <w:sz w:val="22"/>
          <w:szCs w:val="22"/>
        </w:rPr>
      </w:pPr>
    </w:p>
    <w:p w:rsidR="00A72EC0" w:rsidRDefault="00A72EC0" w:rsidP="00A72EC0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G. Ibbott was appointed to the JAHG whose role is to resolve conflicts and overlapping work programs of </w:t>
      </w:r>
      <w:r w:rsidRPr="00FC422B">
        <w:rPr>
          <w:sz w:val="22"/>
          <w:szCs w:val="22"/>
        </w:rPr>
        <w:t>IEC/SC 62C, IEC/TC 45 and ISO/TC 85/SC 2. It aims at facilitating decision making to resolve an issue on overlapping and outdated publications for radionuclide calibrators/ionization chambers.</w:t>
      </w:r>
      <w:r>
        <w:rPr>
          <w:sz w:val="22"/>
          <w:szCs w:val="22"/>
        </w:rPr>
        <w:t xml:space="preserve">  </w:t>
      </w:r>
      <w:r w:rsidRPr="00FC422B">
        <w:rPr>
          <w:sz w:val="22"/>
          <w:szCs w:val="22"/>
        </w:rPr>
        <w:t>When approved and reali</w:t>
      </w:r>
      <w:r>
        <w:rPr>
          <w:sz w:val="22"/>
          <w:szCs w:val="22"/>
        </w:rPr>
        <w:t>z</w:t>
      </w:r>
      <w:r w:rsidRPr="00FC422B">
        <w:rPr>
          <w:sz w:val="22"/>
          <w:szCs w:val="22"/>
        </w:rPr>
        <w:t>ed, the proposed way forward will result in a new standard (with one or more parts) for the use of the equipment, specifying minimum performance criteria and test methods which accommodate the different user categories</w:t>
      </w:r>
      <w:r>
        <w:rPr>
          <w:sz w:val="22"/>
          <w:szCs w:val="22"/>
        </w:rPr>
        <w:t>. The final report of the JAHG is currently under review. The next steps are being discussed but likely will involve forming a Joint Working Group to be administered by IEC SC 62C, with co-</w:t>
      </w:r>
      <w:proofErr w:type="spellStart"/>
      <w:r>
        <w:rPr>
          <w:sz w:val="22"/>
          <w:szCs w:val="22"/>
        </w:rPr>
        <w:t>convenors</w:t>
      </w:r>
      <w:proofErr w:type="spellEnd"/>
      <w:r>
        <w:rPr>
          <w:sz w:val="22"/>
          <w:szCs w:val="22"/>
        </w:rPr>
        <w:t xml:space="preserve"> from the three technical committees/subcommittees involved.</w:t>
      </w:r>
    </w:p>
    <w:p w:rsidR="00A72EC0" w:rsidRDefault="00A72EC0" w:rsidP="00A72EC0">
      <w:pPr>
        <w:ind w:left="284"/>
        <w:jc w:val="both"/>
        <w:rPr>
          <w:sz w:val="22"/>
          <w:szCs w:val="22"/>
        </w:rPr>
      </w:pPr>
    </w:p>
    <w:p w:rsidR="00A72EC0" w:rsidRDefault="00A72EC0" w:rsidP="00A72EC0">
      <w:pPr>
        <w:jc w:val="both"/>
        <w:rPr>
          <w:sz w:val="22"/>
          <w:szCs w:val="22"/>
        </w:rPr>
      </w:pPr>
      <w:r>
        <w:rPr>
          <w:sz w:val="22"/>
          <w:szCs w:val="22"/>
        </w:rPr>
        <w:t>Respectfully submitted,</w:t>
      </w:r>
    </w:p>
    <w:p w:rsidR="00A72EC0" w:rsidRDefault="00A72EC0" w:rsidP="00A72EC0">
      <w:pPr>
        <w:jc w:val="both"/>
        <w:rPr>
          <w:sz w:val="22"/>
          <w:szCs w:val="22"/>
        </w:rPr>
      </w:pPr>
    </w:p>
    <w:p w:rsidR="00A72EC0" w:rsidRDefault="00A72EC0" w:rsidP="00A72EC0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Geoffrey Ibbott</w:t>
      </w:r>
    </w:p>
    <w:p w:rsidR="00A72EC0" w:rsidRDefault="00A72EC0" w:rsidP="00A72EC0">
      <w:pPr>
        <w:tabs>
          <w:tab w:val="left" w:pos="993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Convenor</w:t>
      </w:r>
      <w:proofErr w:type="spellEnd"/>
      <w:r>
        <w:rPr>
          <w:sz w:val="22"/>
          <w:szCs w:val="22"/>
        </w:rPr>
        <w:t>, IEC 62C/WG 1</w:t>
      </w:r>
    </w:p>
    <w:p w:rsidR="00A72EC0" w:rsidRDefault="00A72EC0" w:rsidP="00A72EC0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Technical Advisor to US National Committee</w:t>
      </w:r>
    </w:p>
    <w:p w:rsidR="00A72EC0" w:rsidRDefault="00A72EC0" w:rsidP="00A72EC0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Chair, US Technical Advisory Group for IEC SC 62C</w:t>
      </w:r>
    </w:p>
    <w:p w:rsidR="00A72EC0" w:rsidRDefault="00A72EC0" w:rsidP="00A72EC0">
      <w:pPr>
        <w:rPr>
          <w:b/>
          <w:sz w:val="22"/>
        </w:rPr>
      </w:pPr>
    </w:p>
    <w:p w:rsidR="00A72EC0" w:rsidRDefault="00A72EC0" w:rsidP="00A72EC0">
      <w:pPr>
        <w:rPr>
          <w:b/>
          <w:sz w:val="22"/>
        </w:rPr>
      </w:pPr>
      <w:r>
        <w:rPr>
          <w:b/>
          <w:sz w:val="22"/>
        </w:rPr>
        <w:t>22 July 2020</w:t>
      </w: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sectPr w:rsidR="003164D9" w:rsidRPr="00316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E778A"/>
    <w:multiLevelType w:val="hybridMultilevel"/>
    <w:tmpl w:val="5AFCFE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F5861"/>
    <w:multiLevelType w:val="hybridMultilevel"/>
    <w:tmpl w:val="B622EAEE"/>
    <w:lvl w:ilvl="0" w:tplc="04090019">
      <w:start w:val="1"/>
      <w:numFmt w:val="lowerLetter"/>
      <w:lvlText w:val="%1."/>
      <w:lvlJc w:val="left"/>
      <w:pPr>
        <w:ind w:left="1505" w:hanging="360"/>
      </w:p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42BE2F8B"/>
    <w:multiLevelType w:val="hybridMultilevel"/>
    <w:tmpl w:val="440283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5001A"/>
    <w:multiLevelType w:val="hybridMultilevel"/>
    <w:tmpl w:val="1DE65738"/>
    <w:lvl w:ilvl="0" w:tplc="04090019">
      <w:start w:val="1"/>
      <w:numFmt w:val="lowerLetter"/>
      <w:lvlText w:val="%1."/>
      <w:lvlJc w:val="left"/>
      <w:pPr>
        <w:ind w:left="1505" w:hanging="360"/>
      </w:p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 w15:restartNumberingAfterBreak="0">
    <w:nsid w:val="5EE679D4"/>
    <w:multiLevelType w:val="hybridMultilevel"/>
    <w:tmpl w:val="F9F85B4C"/>
    <w:lvl w:ilvl="0" w:tplc="04090019">
      <w:start w:val="1"/>
      <w:numFmt w:val="lowerLetter"/>
      <w:lvlText w:val="%1."/>
      <w:lvlJc w:val="left"/>
      <w:pPr>
        <w:ind w:left="1505" w:hanging="360"/>
      </w:p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" w15:restartNumberingAfterBreak="0">
    <w:nsid w:val="66D37EB8"/>
    <w:multiLevelType w:val="hybridMultilevel"/>
    <w:tmpl w:val="2EEC69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67186"/>
    <w:multiLevelType w:val="hybridMultilevel"/>
    <w:tmpl w:val="D3ECBEF2"/>
    <w:lvl w:ilvl="0" w:tplc="04090019">
      <w:start w:val="1"/>
      <w:numFmt w:val="lowerLetter"/>
      <w:lvlText w:val="%1."/>
      <w:lvlJc w:val="left"/>
      <w:pPr>
        <w:ind w:left="1505" w:hanging="360"/>
      </w:p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196"/>
    <w:rsid w:val="00107A31"/>
    <w:rsid w:val="001D3AF5"/>
    <w:rsid w:val="002E2196"/>
    <w:rsid w:val="003164D9"/>
    <w:rsid w:val="00A72EC0"/>
    <w:rsid w:val="00AE24F9"/>
    <w:rsid w:val="00E3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900260"/>
  <w15:chartTrackingRefBased/>
  <w15:docId w15:val="{E83860BE-2211-3047-BD94-2F7CE384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A72EC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styleId="ListParagraph">
    <w:name w:val="List Paragraph"/>
    <w:uiPriority w:val="34"/>
    <w:qFormat/>
    <w:rsid w:val="00A72EC0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eoffreyibbott/Library/Mobile%20Documents/com~apple~CloudDocs/IEC%20Documents/TAG:WG%20minutes:reports/individ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individual.dot</Template>
  <TotalTime>5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subject/>
  <dc:creator>Geoffrey Ibbott</dc:creator>
  <cp:keywords/>
  <dc:description/>
  <cp:lastModifiedBy>Geoffrey Ibbott</cp:lastModifiedBy>
  <cp:revision>2</cp:revision>
  <dcterms:created xsi:type="dcterms:W3CDTF">2020-07-22T17:08:00Z</dcterms:created>
  <dcterms:modified xsi:type="dcterms:W3CDTF">2020-07-22T17:13:00Z</dcterms:modified>
</cp:coreProperties>
</file>