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9"/>
        <w:gridCol w:w="5361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7886A8E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Digital Imaging and Communications in Medicine</w:t>
            </w:r>
          </w:p>
          <w:p w14:paraId="0957132A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WG07 RT Representative</w:t>
            </w:r>
          </w:p>
          <w:p w14:paraId="422BDBD0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217813B9" w:rsidR="00793C4D" w:rsidRDefault="00793C4D" w:rsidP="00793C4D">
            <w:pPr>
              <w:rPr>
                <w:b/>
              </w:rPr>
            </w:pPr>
            <w:r w:rsidRPr="00BC273A">
              <w:t xml:space="preserve">WG07 </w:t>
            </w:r>
            <w:r>
              <w:t xml:space="preserve">Virtual </w:t>
            </w:r>
            <w:r w:rsidRPr="00BC273A">
              <w:t>Meeting</w:t>
            </w:r>
            <w:r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252719E" w14:textId="1E8490A3" w:rsidR="004448A2" w:rsidRDefault="002C7CD1" w:rsidP="00793C4D">
            <w:pPr>
              <w:rPr>
                <w:b/>
              </w:rPr>
            </w:pPr>
            <w:r>
              <w:t>6</w:t>
            </w:r>
            <w:r w:rsidR="00371F28">
              <w:t>/</w:t>
            </w:r>
            <w:r>
              <w:t>5</w:t>
            </w:r>
            <w:r w:rsidR="00371F28">
              <w:t>/202</w:t>
            </w:r>
            <w:r>
              <w:t>3 ~ 6/9/2023</w:t>
            </w:r>
          </w:p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14D6D7EA" w:rsidR="00793C4D" w:rsidRDefault="002C7CD1" w:rsidP="00793C4D">
            <w:pPr>
              <w:rPr>
                <w:b/>
              </w:rPr>
            </w:pPr>
            <w:proofErr w:type="spellStart"/>
            <w:r>
              <w:rPr>
                <w:b/>
              </w:rPr>
              <w:t>RaySearch</w:t>
            </w:r>
            <w:proofErr w:type="spellEnd"/>
            <w:r>
              <w:rPr>
                <w:b/>
              </w:rPr>
              <w:t xml:space="preserve">, Stockholm, Sweden 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74701692" w:rsidR="00793C4D" w:rsidRDefault="002C7CD1" w:rsidP="00793C4D">
            <w:pPr>
              <w:rPr>
                <w:b/>
              </w:rPr>
            </w:pPr>
            <w:r>
              <w:rPr>
                <w:b/>
              </w:rPr>
              <w:t>2754.08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9374870" w14:textId="6C89B208" w:rsidR="00E05F17" w:rsidRPr="002C7CD1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 w:themeColor="text1"/>
              </w:rPr>
              <w:t xml:space="preserve">Discuss the hybrid approach to model emerging new devices. The most urgent use cases are </w:t>
            </w:r>
            <w:proofErr w:type="spellStart"/>
            <w:r>
              <w:rPr>
                <w:color w:val="000000" w:themeColor="text1"/>
              </w:rPr>
              <w:t>Tomotherpeutic</w:t>
            </w:r>
            <w:proofErr w:type="spellEnd"/>
            <w:r>
              <w:rPr>
                <w:color w:val="000000" w:themeColor="text1"/>
              </w:rPr>
              <w:t xml:space="preserve"> device and Leo Patient Support device.</w:t>
            </w:r>
          </w:p>
          <w:p w14:paraId="44BEF354" w14:textId="797FD8E9" w:rsidR="002C7CD1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t>Conceptual Volume use in RTSS, RTDOSE, RTPLAN.</w:t>
            </w:r>
          </w:p>
          <w:p w14:paraId="101DC8B2" w14:textId="77777777" w:rsidR="002C7CD1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t>How to support non-standard devices</w:t>
            </w:r>
          </w:p>
          <w:p w14:paraId="293894AB" w14:textId="77777777" w:rsidR="002C7CD1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t>Support “matrix” approach to register the patient to the device.</w:t>
            </w:r>
          </w:p>
          <w:p w14:paraId="7685B149" w14:textId="77777777" w:rsidR="002C7CD1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t>How to record (sessions/fractions, optimization parameters).</w:t>
            </w:r>
          </w:p>
          <w:p w14:paraId="7825D2EC" w14:textId="17C66DB5" w:rsidR="002C7CD1" w:rsidRPr="004448A2" w:rsidRDefault="002C7CD1" w:rsidP="00371F28">
            <w:pPr>
              <w:numPr>
                <w:ilvl w:val="0"/>
                <w:numId w:val="3"/>
              </w:numPr>
              <w:ind w:left="310"/>
            </w:pPr>
            <w:r>
              <w:t>Hybrid dose object</w:t>
            </w:r>
          </w:p>
        </w:tc>
      </w:tr>
      <w:tr w:rsidR="00793C4D" w:rsidRPr="00090689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7E4D085" w14:textId="2F9B16DD" w:rsidR="00793C4D" w:rsidRDefault="002C7CD1" w:rsidP="002C7CD1">
            <w:pPr>
              <w:numPr>
                <w:ilvl w:val="0"/>
                <w:numId w:val="11"/>
              </w:numPr>
              <w:ind w:left="306"/>
            </w:pPr>
            <w:r w:rsidRPr="002C7CD1">
              <w:t xml:space="preserve">Vendors </w:t>
            </w:r>
            <w:r>
              <w:t>are reluctant to implement full-blown 2</w:t>
            </w:r>
            <w:r w:rsidRPr="002C7CD1">
              <w:rPr>
                <w:vertAlign w:val="superscript"/>
              </w:rPr>
              <w:t>nd</w:t>
            </w:r>
            <w:r>
              <w:t xml:space="preserve"> generation RT objects</w:t>
            </w:r>
            <w:r w:rsidR="00090689">
              <w:t xml:space="preserve"> due to financial concern and the amount of work.</w:t>
            </w:r>
          </w:p>
          <w:p w14:paraId="715C0149" w14:textId="243E5717" w:rsidR="00090689" w:rsidRDefault="00090689" w:rsidP="002C7CD1">
            <w:pPr>
              <w:numPr>
                <w:ilvl w:val="0"/>
                <w:numId w:val="11"/>
              </w:numPr>
              <w:ind w:left="306"/>
            </w:pPr>
            <w:r>
              <w:t>The committee has agreed that a hybrid approach is practical to deal with new devices and reminding old problems.</w:t>
            </w:r>
          </w:p>
          <w:p w14:paraId="119BC3A7" w14:textId="77777777" w:rsidR="00090689" w:rsidRDefault="00090689" w:rsidP="002C7CD1">
            <w:pPr>
              <w:numPr>
                <w:ilvl w:val="0"/>
                <w:numId w:val="11"/>
              </w:numPr>
              <w:ind w:left="306"/>
            </w:pPr>
            <w:r>
              <w:t>How to make use of modules of the 2</w:t>
            </w:r>
            <w:r w:rsidRPr="00090689">
              <w:rPr>
                <w:vertAlign w:val="superscript"/>
              </w:rPr>
              <w:t>nd</w:t>
            </w:r>
            <w:r>
              <w:t xml:space="preserve"> gen standards to solve current problems.</w:t>
            </w:r>
          </w:p>
          <w:p w14:paraId="47404FE4" w14:textId="77777777" w:rsidR="00090689" w:rsidRDefault="00090689" w:rsidP="002C7CD1">
            <w:pPr>
              <w:numPr>
                <w:ilvl w:val="0"/>
                <w:numId w:val="11"/>
              </w:numPr>
              <w:ind w:left="306"/>
            </w:pPr>
            <w:r>
              <w:t xml:space="preserve">The remaining problems are: </w:t>
            </w:r>
          </w:p>
          <w:p w14:paraId="413B54D7" w14:textId="77777777" w:rsidR="00090689" w:rsidRDefault="00090689" w:rsidP="00090689">
            <w:pPr>
              <w:numPr>
                <w:ilvl w:val="1"/>
                <w:numId w:val="11"/>
              </w:numPr>
              <w:ind w:left="1026"/>
            </w:pPr>
            <w:r w:rsidRPr="00090689">
              <w:t>Non-C-ARM machines need</w:t>
            </w:r>
            <w:r>
              <w:t xml:space="preserve"> better support.</w:t>
            </w:r>
          </w:p>
          <w:p w14:paraId="3B662534" w14:textId="58AE107C" w:rsidR="00090689" w:rsidRDefault="00090689" w:rsidP="00090689">
            <w:pPr>
              <w:numPr>
                <w:ilvl w:val="1"/>
                <w:numId w:val="11"/>
              </w:numPr>
              <w:ind w:left="1026"/>
            </w:pPr>
            <w:r>
              <w:t>Need a mechanism to support new devices without individual modeling.</w:t>
            </w:r>
          </w:p>
          <w:p w14:paraId="12EDB13D" w14:textId="25B551FD" w:rsidR="00090689" w:rsidRPr="00090689" w:rsidRDefault="00090689" w:rsidP="00090689">
            <w:pPr>
              <w:numPr>
                <w:ilvl w:val="1"/>
                <w:numId w:val="11"/>
              </w:numPr>
              <w:ind w:left="1026"/>
            </w:pPr>
            <w:r>
              <w:t>Dose and prescription modules need to be enhanced to better support ion beams.</w:t>
            </w: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D4B03E0" w14:textId="5EB9B983" w:rsidR="00FB098D" w:rsidRDefault="00090689" w:rsidP="005E3A70">
            <w:r>
              <w:t xml:space="preserve">The in-person meetings were planned to address remaining issues more effectively. The committee has identified pressing issues </w:t>
            </w:r>
            <w:r w:rsidR="003B4053">
              <w:t xml:space="preserve">that this society wanted to solve. There are 19 of them in the list, however, we cannot solve all of them at the same time at the </w:t>
            </w:r>
            <w:r w:rsidR="003B4053">
              <w:lastRenderedPageBreak/>
              <w:t xml:space="preserve">same priority. The committee conducted a voting procedure (based on Ease of Development, clinical needs and likelihood of implementation) that 8 most urgent issues were identified. </w:t>
            </w:r>
          </w:p>
          <w:p w14:paraId="3D2C46B6" w14:textId="2CCFF9FE" w:rsidR="00793C4D" w:rsidRPr="004448A2" w:rsidRDefault="00793C4D" w:rsidP="00793C4D"/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05F3DA32" w:rsidR="00793C4D" w:rsidRDefault="002C7CD1" w:rsidP="00793C4D">
            <w:pPr>
              <w:rPr>
                <w:b/>
              </w:rPr>
            </w:pPr>
            <w:r>
              <w:rPr>
                <w:b/>
              </w:rPr>
              <w:t>2754.08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865"/>
    <w:multiLevelType w:val="hybridMultilevel"/>
    <w:tmpl w:val="B5EEF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3D71"/>
    <w:multiLevelType w:val="hybridMultilevel"/>
    <w:tmpl w:val="BD2E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8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9"/>
  </w:num>
  <w:num w:numId="5" w16cid:durableId="618991432">
    <w:abstractNumId w:val="5"/>
  </w:num>
  <w:num w:numId="6" w16cid:durableId="1979067085">
    <w:abstractNumId w:val="10"/>
  </w:num>
  <w:num w:numId="7" w16cid:durableId="336658793">
    <w:abstractNumId w:val="6"/>
  </w:num>
  <w:num w:numId="8" w16cid:durableId="1958562253">
    <w:abstractNumId w:val="2"/>
  </w:num>
  <w:num w:numId="9" w16cid:durableId="900411955">
    <w:abstractNumId w:val="0"/>
  </w:num>
  <w:num w:numId="10" w16cid:durableId="1566068242">
    <w:abstractNumId w:val="7"/>
  </w:num>
  <w:num w:numId="11" w16cid:durableId="695353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090689"/>
    <w:rsid w:val="00107A31"/>
    <w:rsid w:val="001D3AF5"/>
    <w:rsid w:val="002C7CD1"/>
    <w:rsid w:val="003164D9"/>
    <w:rsid w:val="00371F28"/>
    <w:rsid w:val="003B4053"/>
    <w:rsid w:val="004448A2"/>
    <w:rsid w:val="005E3A70"/>
    <w:rsid w:val="007204EC"/>
    <w:rsid w:val="00793C4D"/>
    <w:rsid w:val="00AB4A55"/>
    <w:rsid w:val="00AE24F9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71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3</cp:revision>
  <dcterms:created xsi:type="dcterms:W3CDTF">2022-03-01T21:33:00Z</dcterms:created>
  <dcterms:modified xsi:type="dcterms:W3CDTF">2023-06-19T15:20:00Z</dcterms:modified>
</cp:coreProperties>
</file>