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250"/>
        <w:gridCol w:w="8370"/>
      </w:tblGrid>
      <w:tr w:rsidR="00E42000" w14:paraId="47323079"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EB6D" w14:textId="77777777" w:rsidR="00E42000" w:rsidRDefault="001464D9">
            <w:pPr>
              <w:pStyle w:val="BodyA"/>
            </w:pPr>
            <w:r>
              <w:rPr>
                <w:b/>
                <w:bCs/>
              </w:rPr>
              <w:t>Reported by (Name):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B374" w14:textId="1CE2188D" w:rsidR="00E42000" w:rsidRDefault="004A2080">
            <w:pPr>
              <w:pStyle w:val="BodyA"/>
            </w:pPr>
            <w:r>
              <w:t>James Halama, PhD</w:t>
            </w:r>
          </w:p>
        </w:tc>
      </w:tr>
      <w:tr w:rsidR="00E42000" w14:paraId="48BC4092"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68CC" w14:textId="77777777" w:rsidR="00E42000" w:rsidRDefault="001464D9">
            <w:pPr>
              <w:pStyle w:val="BodyA"/>
            </w:pPr>
            <w:r>
              <w:rPr>
                <w:b/>
                <w:bCs/>
              </w:rPr>
              <w:t xml:space="preserve">Organization: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47F4" w14:textId="258BD610" w:rsidR="00E42000" w:rsidRDefault="001464D9">
            <w:pPr>
              <w:pStyle w:val="BodyA"/>
            </w:pPr>
            <w:r>
              <w:rPr>
                <w:b/>
                <w:bCs/>
              </w:rPr>
              <w:t xml:space="preserve">International </w:t>
            </w:r>
            <w:proofErr w:type="spellStart"/>
            <w:r>
              <w:rPr>
                <w:b/>
                <w:bCs/>
              </w:rPr>
              <w:t>Electrotechnical</w:t>
            </w:r>
            <w:proofErr w:type="spellEnd"/>
            <w:r>
              <w:rPr>
                <w:b/>
                <w:bCs/>
              </w:rPr>
              <w:t xml:space="preserve"> Commission</w:t>
            </w:r>
          </w:p>
        </w:tc>
      </w:tr>
      <w:tr w:rsidR="00437252" w14:paraId="4529F626" w14:textId="77777777" w:rsidTr="00224053">
        <w:trPr>
          <w:trHeight w:val="90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653BA" w14:textId="75D4F64E" w:rsidR="00437252" w:rsidRDefault="00437252">
            <w:pPr>
              <w:pStyle w:val="BodyA"/>
              <w:rPr>
                <w:b/>
                <w:bCs/>
              </w:rPr>
            </w:pPr>
            <w:r>
              <w:rPr>
                <w:b/>
                <w:bCs/>
              </w:rPr>
              <w:t>MT/PT/WG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B5A0A" w14:textId="77777777" w:rsidR="004A2080" w:rsidRDefault="004A2080" w:rsidP="004A2080">
            <w:pPr>
              <w:pStyle w:val="BodyA"/>
            </w:pPr>
            <w:r>
              <w:t>TECHNICAL COMMITTEE TC 62:</w:t>
            </w:r>
            <w:r>
              <w:tab/>
              <w:t xml:space="preserve">Electrical equipment in medical practice </w:t>
            </w:r>
          </w:p>
          <w:p w14:paraId="5809E8B4" w14:textId="77777777" w:rsidR="004A2080" w:rsidRDefault="004A2080" w:rsidP="004A2080">
            <w:pPr>
              <w:pStyle w:val="BodyA"/>
            </w:pPr>
            <w:r>
              <w:t xml:space="preserve">SUBCOMMITTEE SC 62C: </w:t>
            </w:r>
            <w:r>
              <w:tab/>
            </w:r>
            <w:r>
              <w:tab/>
              <w:t xml:space="preserve">Equipment for radiotherapy, nuclear medicine and radiation dosimetry </w:t>
            </w:r>
          </w:p>
          <w:p w14:paraId="1D46EE20" w14:textId="0F312EA4" w:rsidR="00437252" w:rsidRDefault="004A2080" w:rsidP="004A2080">
            <w:pPr>
              <w:pStyle w:val="BodyA"/>
            </w:pPr>
            <w:r>
              <w:t xml:space="preserve">WORKING GROUP WG 2: </w:t>
            </w:r>
            <w:r>
              <w:tab/>
            </w:r>
            <w:r>
              <w:tab/>
              <w:t>Nuclear medicine instrumentation</w:t>
            </w:r>
          </w:p>
        </w:tc>
      </w:tr>
      <w:tr w:rsidR="00437252" w14:paraId="5101EA39" w14:textId="77777777" w:rsidTr="00224053">
        <w:trPr>
          <w:trHeight w:val="90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185F5" w14:textId="226FE2E1" w:rsidR="00437252" w:rsidRDefault="00437252">
            <w:pPr>
              <w:pStyle w:val="BodyA"/>
              <w:rPr>
                <w:b/>
                <w:bCs/>
              </w:rPr>
            </w:pPr>
            <w:r>
              <w:rPr>
                <w:b/>
                <w:bCs/>
              </w:rPr>
              <w:t xml:space="preserve">IEC Standards Numbers and Names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8FF2" w14:textId="77777777" w:rsidR="004A2080" w:rsidRDefault="004A2080" w:rsidP="004A2080">
            <w:pPr>
              <w:pStyle w:val="BodyA"/>
            </w:pPr>
            <w:r>
              <w:t>standard</w:t>
            </w:r>
            <w:r>
              <w:tab/>
              <w:t>stability date</w:t>
            </w:r>
            <w:r>
              <w:tab/>
              <w:t>comment</w:t>
            </w:r>
          </w:p>
          <w:p w14:paraId="13261F4B" w14:textId="1113651C" w:rsidR="004A2080" w:rsidRDefault="004A2080" w:rsidP="004A2080">
            <w:pPr>
              <w:pStyle w:val="BodyA"/>
            </w:pPr>
            <w:r>
              <w:t>IEC 61303</w:t>
            </w:r>
            <w:r>
              <w:tab/>
              <w:t>2028</w:t>
            </w:r>
            <w:r>
              <w:tab/>
            </w:r>
            <w:r w:rsidRPr="004A2080">
              <w:t>Radionuclide calibrators</w:t>
            </w:r>
          </w:p>
          <w:p w14:paraId="388B34B2" w14:textId="1C2274D9" w:rsidR="004A2080" w:rsidRDefault="004A2080" w:rsidP="004A2080">
            <w:pPr>
              <w:pStyle w:val="BodyA"/>
            </w:pPr>
            <w:r>
              <w:t>IEC 61675-1</w:t>
            </w:r>
            <w:r>
              <w:tab/>
              <w:t>2018</w:t>
            </w:r>
            <w:r>
              <w:tab/>
            </w:r>
            <w:r w:rsidRPr="004A2080">
              <w:t xml:space="preserve">Positron emission </w:t>
            </w:r>
            <w:proofErr w:type="spellStart"/>
            <w:r w:rsidRPr="004A2080">
              <w:t>tomographs</w:t>
            </w:r>
            <w:proofErr w:type="spellEnd"/>
            <w:r>
              <w:tab/>
            </w:r>
          </w:p>
          <w:p w14:paraId="4F717032" w14:textId="3671EEF6" w:rsidR="004A2080" w:rsidRDefault="004A2080" w:rsidP="004A2080">
            <w:pPr>
              <w:pStyle w:val="BodyA"/>
            </w:pPr>
            <w:r>
              <w:t>IEC 61675-2</w:t>
            </w:r>
            <w:r>
              <w:tab/>
              <w:t>2021</w:t>
            </w:r>
            <w:r>
              <w:t xml:space="preserve">    </w:t>
            </w:r>
            <w:r w:rsidRPr="004A2080">
              <w:t xml:space="preserve">Gamma cameras for planar, </w:t>
            </w:r>
            <w:proofErr w:type="spellStart"/>
            <w:r w:rsidRPr="004A2080">
              <w:t>wholebody</w:t>
            </w:r>
            <w:proofErr w:type="spellEnd"/>
            <w:r w:rsidRPr="004A2080">
              <w:t>, and SPECT imaging</w:t>
            </w:r>
          </w:p>
          <w:p w14:paraId="4DEA1EB5" w14:textId="59845F83" w:rsidR="004A2080" w:rsidRDefault="004A2080" w:rsidP="004A2080">
            <w:pPr>
              <w:pStyle w:val="BodyA"/>
            </w:pPr>
            <w:r>
              <w:t xml:space="preserve">IEC TR 61948-1 </w:t>
            </w:r>
            <w:r>
              <w:t>2025</w:t>
            </w:r>
            <w:r>
              <w:t xml:space="preserve">  </w:t>
            </w:r>
            <w:r w:rsidRPr="004A2080">
              <w:t>Gamma radiation counting systems</w:t>
            </w:r>
          </w:p>
          <w:p w14:paraId="29A8D8DA" w14:textId="23F2DB28" w:rsidR="004A2080" w:rsidRDefault="004A2080" w:rsidP="004A2080">
            <w:pPr>
              <w:pStyle w:val="BodyA"/>
            </w:pPr>
            <w:r>
              <w:t xml:space="preserve">IEC TR 61948-2 </w:t>
            </w:r>
            <w:r>
              <w:t>2019</w:t>
            </w:r>
            <w:r>
              <w:t xml:space="preserve">  </w:t>
            </w:r>
            <w:r w:rsidRPr="004A2080">
              <w:t>Routine tests - Part 2: Scintillation cameras and single photon emission computed tomography imaging</w:t>
            </w:r>
          </w:p>
          <w:p w14:paraId="4D93E788" w14:textId="7FF3023D" w:rsidR="004A2080" w:rsidRDefault="004A2080" w:rsidP="004A2080">
            <w:pPr>
              <w:pStyle w:val="BodyA"/>
            </w:pPr>
            <w:r>
              <w:t xml:space="preserve">IEC TR 61948-3 </w:t>
            </w:r>
            <w:r>
              <w:t>2025</w:t>
            </w:r>
            <w:r>
              <w:t xml:space="preserve">  </w:t>
            </w:r>
            <w:r w:rsidRPr="004A2080">
              <w:t xml:space="preserve">Routine tests - Part 3: Positron emission </w:t>
            </w:r>
            <w:proofErr w:type="spellStart"/>
            <w:r w:rsidRPr="004A2080">
              <w:t>tomographs</w:t>
            </w:r>
            <w:proofErr w:type="spellEnd"/>
          </w:p>
          <w:p w14:paraId="4ABD08A8" w14:textId="433588E0" w:rsidR="00437252" w:rsidRDefault="004A2080" w:rsidP="004A2080">
            <w:pPr>
              <w:pStyle w:val="BodyA"/>
            </w:pPr>
            <w:r>
              <w:t>IEC</w:t>
            </w:r>
            <w:r w:rsidR="00224053">
              <w:t xml:space="preserve"> TR 61948-4 2019  </w:t>
            </w:r>
            <w:r w:rsidR="00224053" w:rsidRPr="00224053">
              <w:t>Routine tests - Part 4: Radionuclide calibrators</w:t>
            </w:r>
          </w:p>
        </w:tc>
      </w:tr>
      <w:tr w:rsidR="00E42000" w14:paraId="0C21BD17" w14:textId="77777777" w:rsidTr="00224053">
        <w:trPr>
          <w:trHeight w:val="63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EE36" w14:textId="77777777" w:rsidR="00E42000" w:rsidRDefault="001464D9">
            <w:pPr>
              <w:pStyle w:val="BodyA"/>
            </w:pPr>
            <w:r>
              <w:rPr>
                <w:b/>
                <w:bCs/>
              </w:rPr>
              <w:t>Position Title: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9143" w14:textId="7C5A6682" w:rsidR="0067421B" w:rsidRDefault="00224053" w:rsidP="0067421B">
            <w:pPr>
              <w:pStyle w:val="BodyA"/>
            </w:pPr>
            <w:r w:rsidRPr="00224053">
              <w:t>USNC TAG Participant (Group Billing)</w:t>
            </w:r>
            <w:r>
              <w:t xml:space="preserve"> – Committee Seat</w:t>
            </w:r>
          </w:p>
        </w:tc>
      </w:tr>
      <w:tr w:rsidR="00E42000" w14:paraId="18210237"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D7AD" w14:textId="77777777" w:rsidR="00E42000" w:rsidRDefault="001464D9">
            <w:pPr>
              <w:pStyle w:val="BodyA"/>
            </w:pPr>
            <w:r>
              <w:rPr>
                <w:b/>
                <w:bCs/>
              </w:rPr>
              <w:t>Activity: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D264D" w14:textId="331B82D6" w:rsidR="0067421B" w:rsidRPr="00224053" w:rsidRDefault="00224053" w:rsidP="0067421B">
            <w:pPr>
              <w:pStyle w:val="BodyA"/>
              <w:rPr>
                <w:bCs/>
              </w:rPr>
            </w:pPr>
            <w:r w:rsidRPr="00224053">
              <w:rPr>
                <w:bCs/>
              </w:rPr>
              <w:t>Annual Meeting of the working group</w:t>
            </w:r>
          </w:p>
          <w:p w14:paraId="48E1C3CA" w14:textId="268DCF0E" w:rsidR="00E42000" w:rsidRDefault="00E42000" w:rsidP="00550715">
            <w:pPr>
              <w:pStyle w:val="BodyA"/>
            </w:pPr>
          </w:p>
        </w:tc>
      </w:tr>
      <w:tr w:rsidR="00E42000" w14:paraId="3BDBB328"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A5B0" w14:textId="77777777" w:rsidR="00E42000" w:rsidRDefault="001464D9">
            <w:pPr>
              <w:pStyle w:val="BodyA"/>
            </w:pPr>
            <w:r>
              <w:rPr>
                <w:b/>
                <w:bCs/>
              </w:rPr>
              <w:t>Meeting Dates:</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2322" w14:textId="41771E17" w:rsidR="00E42000" w:rsidRDefault="00224053">
            <w:pPr>
              <w:pStyle w:val="BodyA"/>
            </w:pPr>
            <w:r>
              <w:t>4/9/2018 to 4/11/2018</w:t>
            </w:r>
          </w:p>
        </w:tc>
      </w:tr>
      <w:tr w:rsidR="00E42000" w14:paraId="13AE7CAE"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DD45" w14:textId="77777777" w:rsidR="00E42000" w:rsidRDefault="001464D9">
            <w:pPr>
              <w:pStyle w:val="BodyA"/>
            </w:pPr>
            <w:r>
              <w:rPr>
                <w:b/>
                <w:bCs/>
              </w:rPr>
              <w:t>Meeting Location: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A23BD" w14:textId="77777777" w:rsidR="00E42000" w:rsidRDefault="00224053">
            <w:pPr>
              <w:pStyle w:val="BodyA"/>
            </w:pPr>
            <w:r>
              <w:t>British Standards Institute BSI</w:t>
            </w:r>
          </w:p>
          <w:p w14:paraId="7C5994CD" w14:textId="5EDD0B3B" w:rsidR="00224053" w:rsidRDefault="00224053">
            <w:pPr>
              <w:pStyle w:val="BodyA"/>
            </w:pPr>
            <w:r>
              <w:t>London, England</w:t>
            </w:r>
          </w:p>
        </w:tc>
      </w:tr>
      <w:tr w:rsidR="00E42000" w14:paraId="56DA3CDE"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CA99" w14:textId="12C9B2CD" w:rsidR="00E42000" w:rsidRDefault="001464D9">
            <w:pPr>
              <w:pStyle w:val="BodyA"/>
            </w:pPr>
            <w:r>
              <w:rPr>
                <w:b/>
                <w:bCs/>
              </w:rPr>
              <w:t>Payment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0995" w14:textId="14313D29" w:rsidR="00E42000" w:rsidRDefault="00224053">
            <w:pPr>
              <w:pStyle w:val="BodyA"/>
            </w:pPr>
            <w:r>
              <w:t>$1839.67 – travel and lodging expenses</w:t>
            </w:r>
          </w:p>
        </w:tc>
      </w:tr>
      <w:tr w:rsidR="00E42000" w14:paraId="4AE38058" w14:textId="77777777" w:rsidTr="00224053">
        <w:trPr>
          <w:trHeight w:val="567"/>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0325" w14:textId="77777777" w:rsidR="00E42000" w:rsidRDefault="001464D9">
            <w:pPr>
              <w:pStyle w:val="BodyA"/>
            </w:pPr>
            <w:r>
              <w:rPr>
                <w:b/>
                <w:bCs/>
              </w:rPr>
              <w:t>Reasons for Attending or not Attending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5B89" w14:textId="6002637D" w:rsidR="00E42000" w:rsidRDefault="00EE627B" w:rsidP="00166E90">
            <w:pPr>
              <w:pStyle w:val="BodyA"/>
            </w:pPr>
            <w:r>
              <w:t>Working group participant</w:t>
            </w:r>
          </w:p>
        </w:tc>
      </w:tr>
      <w:tr w:rsidR="00E42000" w14:paraId="51C6193A" w14:textId="77777777" w:rsidTr="00224053">
        <w:trPr>
          <w:trHeight w:val="9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F8730" w14:textId="77777777" w:rsidR="00E42000" w:rsidRDefault="001464D9">
            <w:pPr>
              <w:pStyle w:val="BodyA"/>
            </w:pPr>
            <w:r>
              <w:rPr>
                <w:b/>
                <w:bCs/>
              </w:rPr>
              <w:t>Issues from Previous Meetings or Year:</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0B3D6" w14:textId="77777777" w:rsidR="00EE627B" w:rsidRDefault="00EE627B" w:rsidP="00EE627B">
            <w:pPr>
              <w:pStyle w:val="Heading1"/>
              <w:keepNext w:val="0"/>
              <w:widowControl w:val="0"/>
              <w:numPr>
                <w:ilvl w:val="0"/>
                <w:numId w:val="13"/>
              </w:numPr>
              <w:tabs>
                <w:tab w:val="left" w:pos="827"/>
              </w:tabs>
              <w:spacing w:before="0" w:after="0"/>
              <w:ind w:firstLine="0"/>
            </w:pPr>
            <w:r>
              <w:t>Maintenance project IEC TR 61948-2:2001</w:t>
            </w:r>
          </w:p>
          <w:p w14:paraId="552FFD38" w14:textId="77777777" w:rsidR="00EE627B" w:rsidRDefault="00EE627B" w:rsidP="00EE627B">
            <w:pPr>
              <w:pStyle w:val="Heading1"/>
              <w:rPr>
                <w:b w:val="0"/>
                <w:bCs w:val="0"/>
                <w:spacing w:val="2"/>
              </w:rPr>
            </w:pPr>
            <w:r>
              <w:rPr>
                <w:b w:val="0"/>
                <w:bCs w:val="0"/>
                <w:spacing w:val="2"/>
              </w:rPr>
              <w:t xml:space="preserve">The comments received for IEC TR 61948-2 have been evaluated and commented. IEC TR 61948-2 has been adapted accordingly. </w:t>
            </w:r>
          </w:p>
          <w:p w14:paraId="2D123D70" w14:textId="77777777" w:rsidR="00EE627B" w:rsidRDefault="00EE627B" w:rsidP="00EE627B">
            <w:r>
              <w:t>IEC TR 61948-2 is ready for publication.</w:t>
            </w:r>
            <w:r w:rsidR="007B6F63">
              <w:t xml:space="preserve"> Project owner: James Halama</w:t>
            </w:r>
          </w:p>
          <w:p w14:paraId="4E8006D6" w14:textId="77777777" w:rsidR="007B6F63" w:rsidRDefault="007B6F63" w:rsidP="007B6F63">
            <w:pPr>
              <w:pStyle w:val="Heading1"/>
              <w:keepNext w:val="0"/>
              <w:widowControl w:val="0"/>
              <w:numPr>
                <w:ilvl w:val="0"/>
                <w:numId w:val="13"/>
              </w:numPr>
              <w:tabs>
                <w:tab w:val="left" w:pos="827"/>
              </w:tabs>
              <w:spacing w:before="0" w:after="0"/>
              <w:ind w:firstLine="0"/>
            </w:pPr>
            <w:r>
              <w:t>Maintenance project IEC TR 61948-3:2005</w:t>
            </w:r>
          </w:p>
          <w:p w14:paraId="209313AB" w14:textId="77777777" w:rsidR="007B6F63" w:rsidRDefault="007B6F63" w:rsidP="007B6F63">
            <w:pPr>
              <w:pStyle w:val="Heading1"/>
              <w:rPr>
                <w:b w:val="0"/>
                <w:bCs w:val="0"/>
                <w:spacing w:val="2"/>
              </w:rPr>
            </w:pPr>
            <w:r>
              <w:rPr>
                <w:b w:val="0"/>
                <w:bCs w:val="0"/>
                <w:spacing w:val="2"/>
              </w:rPr>
              <w:t>The second edition of IEC TR 61948-3 has been published in January 2018.</w:t>
            </w:r>
            <w:r>
              <w:rPr>
                <w:b w:val="0"/>
                <w:bCs w:val="0"/>
                <w:spacing w:val="2"/>
              </w:rPr>
              <w:t xml:space="preserve"> Project owner: </w:t>
            </w:r>
            <w:proofErr w:type="spellStart"/>
            <w:r>
              <w:rPr>
                <w:b w:val="0"/>
                <w:bCs w:val="0"/>
                <w:spacing w:val="2"/>
              </w:rPr>
              <w:t>Hartwig</w:t>
            </w:r>
            <w:proofErr w:type="spellEnd"/>
            <w:r>
              <w:rPr>
                <w:b w:val="0"/>
                <w:bCs w:val="0"/>
                <w:spacing w:val="2"/>
              </w:rPr>
              <w:t xml:space="preserve"> </w:t>
            </w:r>
            <w:proofErr w:type="spellStart"/>
            <w:r>
              <w:rPr>
                <w:b w:val="0"/>
                <w:bCs w:val="0"/>
                <w:spacing w:val="2"/>
              </w:rPr>
              <w:t>Newiger</w:t>
            </w:r>
            <w:proofErr w:type="spellEnd"/>
          </w:p>
          <w:p w14:paraId="08D4BFEA" w14:textId="77777777" w:rsidR="007B6F63" w:rsidRDefault="007B6F63" w:rsidP="007B6F63">
            <w:pPr>
              <w:pStyle w:val="Heading1"/>
              <w:keepNext w:val="0"/>
              <w:widowControl w:val="0"/>
              <w:numPr>
                <w:ilvl w:val="0"/>
                <w:numId w:val="13"/>
              </w:numPr>
              <w:tabs>
                <w:tab w:val="left" w:pos="827"/>
              </w:tabs>
              <w:spacing w:before="0" w:after="0"/>
              <w:ind w:firstLine="0"/>
            </w:pPr>
            <w:r>
              <w:lastRenderedPageBreak/>
              <w:t>Maintenance project IEC TR 61948-4:2006</w:t>
            </w:r>
          </w:p>
          <w:p w14:paraId="64D3351E" w14:textId="77777777" w:rsidR="007B6F63" w:rsidRDefault="007B6F63" w:rsidP="007B6F63">
            <w:pPr>
              <w:pStyle w:val="Heading1"/>
              <w:rPr>
                <w:b w:val="0"/>
                <w:bCs w:val="0"/>
                <w:spacing w:val="2"/>
              </w:rPr>
            </w:pPr>
            <w:r>
              <w:rPr>
                <w:b w:val="0"/>
                <w:bCs w:val="0"/>
                <w:spacing w:val="2"/>
              </w:rPr>
              <w:t xml:space="preserve">The comments received for IEC TR 61948-4 have been evaluated. No comments requested any change of IEC TR 61948-4. </w:t>
            </w:r>
          </w:p>
          <w:p w14:paraId="15A9BA2F" w14:textId="77777777" w:rsidR="007B6F63" w:rsidRDefault="007B6F63" w:rsidP="007B6F63">
            <w:r>
              <w:t>IEC TR 61948-4 is ready for publication.</w:t>
            </w:r>
            <w:r>
              <w:t xml:space="preserve"> Project owner; Anna Cellar</w:t>
            </w:r>
          </w:p>
          <w:p w14:paraId="2B586156" w14:textId="77777777" w:rsidR="007B6F63" w:rsidRDefault="007B6F63" w:rsidP="007B6F63"/>
          <w:p w14:paraId="38E2721E" w14:textId="77777777" w:rsidR="007B6F63" w:rsidRDefault="007B6F63" w:rsidP="007B6F63">
            <w:pPr>
              <w:pStyle w:val="Heading1"/>
              <w:keepNext w:val="0"/>
              <w:widowControl w:val="0"/>
              <w:numPr>
                <w:ilvl w:val="0"/>
                <w:numId w:val="13"/>
              </w:numPr>
              <w:tabs>
                <w:tab w:val="left" w:pos="827"/>
              </w:tabs>
              <w:spacing w:before="0" w:after="0"/>
              <w:ind w:firstLine="0"/>
            </w:pPr>
            <w:r>
              <w:t>NP cardiac cameras (IEC 63073-1 Ed.1.0)</w:t>
            </w:r>
          </w:p>
          <w:p w14:paraId="6240BAB8" w14:textId="77777777" w:rsidR="007B6F63" w:rsidRDefault="007B6F63" w:rsidP="007B6F63">
            <w:pPr>
              <w:pStyle w:val="Heading1"/>
              <w:rPr>
                <w:b w:val="0"/>
                <w:bCs w:val="0"/>
                <w:spacing w:val="2"/>
              </w:rPr>
            </w:pPr>
            <w:r>
              <w:rPr>
                <w:b w:val="0"/>
                <w:bCs w:val="0"/>
                <w:spacing w:val="2"/>
              </w:rPr>
              <w:t>The comments received for CD IEC 63073-1 have been evaluated and commented, IEC 63073-1 has been adapted accordingly. The explicit reference to a commercially available phantom has been removed.</w:t>
            </w:r>
          </w:p>
          <w:p w14:paraId="68480C2B" w14:textId="0E735185" w:rsidR="007B6F63" w:rsidRDefault="007B6F63" w:rsidP="007B6F63">
            <w:r>
              <w:t>After final editing the document will be ready for distribution as CDV</w:t>
            </w:r>
            <w:r>
              <w:t xml:space="preserve">: </w:t>
            </w:r>
            <w:r w:rsidRPr="007B6F63">
              <w:t>project owner: Glenn Wells / Jim Halama</w:t>
            </w:r>
          </w:p>
          <w:p w14:paraId="7243D70E" w14:textId="77777777" w:rsidR="007B6F63" w:rsidRDefault="007B6F63" w:rsidP="00EE627B"/>
          <w:p w14:paraId="1EEBC878" w14:textId="77777777" w:rsidR="007B6F63" w:rsidRDefault="007B6F63" w:rsidP="007B6F63">
            <w:pPr>
              <w:pStyle w:val="Heading1"/>
              <w:keepNext w:val="0"/>
              <w:widowControl w:val="0"/>
              <w:numPr>
                <w:ilvl w:val="0"/>
                <w:numId w:val="13"/>
              </w:numPr>
              <w:tabs>
                <w:tab w:val="left" w:pos="827"/>
              </w:tabs>
              <w:spacing w:before="0" w:after="0"/>
              <w:ind w:firstLine="0"/>
            </w:pPr>
            <w:r>
              <w:t>Maintenance project IEC TR 61675-1:2006</w:t>
            </w:r>
          </w:p>
          <w:p w14:paraId="567669E0" w14:textId="77777777" w:rsidR="007B6F63" w:rsidRDefault="007B6F63" w:rsidP="007B6F63">
            <w:pPr>
              <w:pStyle w:val="Heading1"/>
              <w:rPr>
                <w:b w:val="0"/>
                <w:bCs w:val="0"/>
                <w:spacing w:val="2"/>
              </w:rPr>
            </w:pPr>
            <w:r>
              <w:rPr>
                <w:b w:val="0"/>
                <w:bCs w:val="0"/>
                <w:spacing w:val="2"/>
              </w:rPr>
              <w:t>The comments received for the questionnaire 62C/690/DC to start maintenance of IEC 61675-1:2013 have been reviewed.</w:t>
            </w:r>
          </w:p>
          <w:p w14:paraId="17C89EC1" w14:textId="77777777" w:rsidR="007B6F63" w:rsidRDefault="007B6F63" w:rsidP="007B6F63">
            <w:r>
              <w:t xml:space="preserve">A task force has been formed with Christian </w:t>
            </w:r>
            <w:proofErr w:type="spellStart"/>
            <w:r>
              <w:t>Schuetze</w:t>
            </w:r>
            <w:proofErr w:type="spellEnd"/>
            <w:r>
              <w:t xml:space="preserve"> being the project owner. The other members being </w:t>
            </w:r>
            <w:proofErr w:type="spellStart"/>
            <w:r>
              <w:t>Hartwig</w:t>
            </w:r>
            <w:proofErr w:type="spellEnd"/>
            <w:r>
              <w:t xml:space="preserve"> </w:t>
            </w:r>
            <w:proofErr w:type="spellStart"/>
            <w:r>
              <w:t>Newiger</w:t>
            </w:r>
            <w:proofErr w:type="spellEnd"/>
            <w:r>
              <w:t xml:space="preserve">, </w:t>
            </w:r>
            <w:proofErr w:type="spellStart"/>
            <w:r>
              <w:t>Kyeong</w:t>
            </w:r>
            <w:proofErr w:type="spellEnd"/>
            <w:r>
              <w:t xml:space="preserve"> Min Kim as supported by Korea, the expert suggested by Sweden (who needs to be nominated) and suggested - while absent and pending his approval - Chuck Stearns.</w:t>
            </w:r>
          </w:p>
          <w:p w14:paraId="7A90770D" w14:textId="77777777" w:rsidR="007B6F63" w:rsidRDefault="007B6F63" w:rsidP="007B6F63"/>
          <w:p w14:paraId="12508619" w14:textId="77777777" w:rsidR="007B6F63" w:rsidRDefault="007B6F63" w:rsidP="007B6F63">
            <w:pPr>
              <w:pStyle w:val="Heading1"/>
              <w:keepNext w:val="0"/>
              <w:widowControl w:val="0"/>
              <w:numPr>
                <w:ilvl w:val="0"/>
                <w:numId w:val="13"/>
              </w:numPr>
              <w:tabs>
                <w:tab w:val="left" w:pos="827"/>
              </w:tabs>
              <w:spacing w:before="0" w:after="0"/>
              <w:ind w:left="851" w:hanging="851"/>
            </w:pPr>
            <w:r>
              <w:t>WG 2’s support of including nuclear medicine equipment to the scope of IEC 63077 (SC 62B/WG 53): position statement</w:t>
            </w:r>
          </w:p>
          <w:p w14:paraId="3635389C" w14:textId="77777777" w:rsidR="007B6F63" w:rsidRDefault="007B6F63" w:rsidP="007B6F63"/>
          <w:p w14:paraId="32C9961C" w14:textId="77777777" w:rsidR="007B6F63" w:rsidRDefault="007B6F63" w:rsidP="007B6F63">
            <w:r>
              <w:t xml:space="preserve">WG 2 agrees that nuclear medicine equipment should be part of the scope of IEC 63077. While WG 2 is not able to send a delegate to WG 53, </w:t>
            </w:r>
            <w:proofErr w:type="spellStart"/>
            <w:r>
              <w:t>Hartwig</w:t>
            </w:r>
            <w:proofErr w:type="spellEnd"/>
            <w:r>
              <w:t xml:space="preserve"> </w:t>
            </w:r>
            <w:proofErr w:type="spellStart"/>
            <w:r>
              <w:t>Newiger</w:t>
            </w:r>
            <w:proofErr w:type="spellEnd"/>
            <w:r>
              <w:t xml:space="preserve"> will act as point of contact for WG 2. WG 2 (i.e. </w:t>
            </w:r>
            <w:proofErr w:type="spellStart"/>
            <w:r>
              <w:t>Hartwig</w:t>
            </w:r>
            <w:proofErr w:type="spellEnd"/>
            <w:r>
              <w:t xml:space="preserve"> </w:t>
            </w:r>
            <w:proofErr w:type="spellStart"/>
            <w:r>
              <w:t>Newiger</w:t>
            </w:r>
            <w:proofErr w:type="spellEnd"/>
            <w:r>
              <w:t>) would like to be informed by any changes made to IEC 63977 and would be willing to contribute to the development of IEC by e.g. comments, suggestions, edits.</w:t>
            </w:r>
          </w:p>
          <w:p w14:paraId="72796C55" w14:textId="77777777" w:rsidR="007B6F63" w:rsidRDefault="007B6F63" w:rsidP="007B6F63">
            <w:pPr>
              <w:pStyle w:val="Heading1"/>
              <w:keepNext w:val="0"/>
              <w:widowControl w:val="0"/>
              <w:numPr>
                <w:ilvl w:val="0"/>
                <w:numId w:val="13"/>
              </w:numPr>
              <w:tabs>
                <w:tab w:val="left" w:pos="827"/>
              </w:tabs>
              <w:spacing w:before="0" w:after="0"/>
              <w:ind w:firstLine="0"/>
            </w:pPr>
            <w:r>
              <w:t>Miscellaneous</w:t>
            </w:r>
          </w:p>
          <w:p w14:paraId="373DF0EA" w14:textId="77777777" w:rsidR="007B6F63" w:rsidRDefault="007B6F63" w:rsidP="007B6F63">
            <w:pPr>
              <w:pStyle w:val="Heading1"/>
              <w:tabs>
                <w:tab w:val="left" w:pos="142"/>
              </w:tabs>
              <w:ind w:hanging="23"/>
              <w:rPr>
                <w:b w:val="0"/>
                <w:bCs w:val="0"/>
                <w:spacing w:val="2"/>
              </w:rPr>
            </w:pPr>
            <w:r>
              <w:rPr>
                <w:b w:val="0"/>
                <w:bCs w:val="0"/>
                <w:spacing w:val="2"/>
              </w:rPr>
              <w:t>The working group still sees a need for additional members of WG2, who would be willing to actively support the work and meaningfully contribute to the discussions. Especially participation by commercial partners would be welcome to better adapt the standards to the technology available today.</w:t>
            </w:r>
          </w:p>
          <w:p w14:paraId="5E501A65" w14:textId="77777777" w:rsidR="007B6F63" w:rsidRDefault="007B6F63" w:rsidP="007B6F63"/>
          <w:p w14:paraId="42118948" w14:textId="77777777" w:rsidR="007B6F63" w:rsidRDefault="007B6F63" w:rsidP="007B6F63">
            <w:r>
              <w:t>Topics of potential areas for new standards have been discussed briefly:</w:t>
            </w:r>
          </w:p>
          <w:p w14:paraId="35CC5AE9"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validation of software</w:t>
            </w:r>
          </w:p>
          <w:p w14:paraId="7BC8689E"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validation of segmentation</w:t>
            </w:r>
          </w:p>
          <w:p w14:paraId="52627CA5"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motion correction</w:t>
            </w:r>
          </w:p>
          <w:p w14:paraId="27549A8A"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quantification</w:t>
            </w:r>
          </w:p>
          <w:p w14:paraId="73B95661"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dosimetry</w:t>
            </w:r>
          </w:p>
          <w:p w14:paraId="2833B48F"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breast imaging including dedicated devices</w:t>
            </w:r>
          </w:p>
          <w:p w14:paraId="62A2AC63" w14:textId="77777777" w:rsidR="007B6F63" w:rsidRDefault="007B6F63" w:rsidP="007B6F6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pPr>
            <w:r>
              <w:t>pixelated SPECT detectors</w:t>
            </w:r>
          </w:p>
          <w:p w14:paraId="15BC3506" w14:textId="77777777" w:rsidR="007B6F63" w:rsidRDefault="007B6F63" w:rsidP="007B6F63">
            <w:pPr>
              <w:rPr>
                <w:highlight w:val="yellow"/>
              </w:rPr>
            </w:pPr>
          </w:p>
          <w:p w14:paraId="704ADF99" w14:textId="77777777" w:rsidR="007B6F63" w:rsidRDefault="007B6F63" w:rsidP="007B6F63">
            <w:pPr>
              <w:pStyle w:val="Heading1"/>
              <w:keepNext w:val="0"/>
              <w:widowControl w:val="0"/>
              <w:numPr>
                <w:ilvl w:val="0"/>
                <w:numId w:val="13"/>
              </w:numPr>
              <w:tabs>
                <w:tab w:val="left" w:pos="827"/>
              </w:tabs>
              <w:spacing w:before="0" w:after="0"/>
              <w:ind w:firstLine="0"/>
            </w:pPr>
            <w:r>
              <w:t>Date and Place of the next meeting</w:t>
            </w:r>
          </w:p>
          <w:p w14:paraId="0370E82C" w14:textId="77777777" w:rsidR="007B6F63" w:rsidRDefault="007B6F63" w:rsidP="000D7774">
            <w:pPr>
              <w:pStyle w:val="Heading1"/>
              <w:tabs>
                <w:tab w:val="left" w:pos="889"/>
              </w:tabs>
              <w:rPr>
                <w:b w:val="0"/>
                <w:spacing w:val="-2"/>
              </w:rPr>
            </w:pPr>
            <w:r>
              <w:rPr>
                <w:b w:val="0"/>
                <w:spacing w:val="-2"/>
              </w:rPr>
              <w:lastRenderedPageBreak/>
              <w:t xml:space="preserve">Glenn Wells invited the working group to conduct the next meeting in Ottawa, Canada. </w:t>
            </w:r>
          </w:p>
          <w:p w14:paraId="1D878F91" w14:textId="77777777" w:rsidR="007B6F63" w:rsidRDefault="007B6F63" w:rsidP="000D7774">
            <w:pPr>
              <w:pStyle w:val="Heading1"/>
              <w:tabs>
                <w:tab w:val="left" w:pos="889"/>
              </w:tabs>
              <w:rPr>
                <w:b w:val="0"/>
                <w:spacing w:val="-2"/>
              </w:rPr>
            </w:pPr>
            <w:r>
              <w:rPr>
                <w:b w:val="0"/>
                <w:spacing w:val="-2"/>
              </w:rPr>
              <w:t xml:space="preserve">The group gladly accepted this invitation. </w:t>
            </w:r>
          </w:p>
          <w:p w14:paraId="749B6E43" w14:textId="77777777" w:rsidR="007B6F63" w:rsidRDefault="007B6F63" w:rsidP="000D7774">
            <w:pPr>
              <w:pStyle w:val="Heading1"/>
              <w:tabs>
                <w:tab w:val="left" w:pos="889"/>
              </w:tabs>
              <w:rPr>
                <w:b w:val="0"/>
                <w:spacing w:val="-2"/>
              </w:rPr>
            </w:pPr>
            <w:r>
              <w:rPr>
                <w:b w:val="0"/>
                <w:spacing w:val="-2"/>
              </w:rPr>
              <w:t>The next meeting is scheduled for May 13</w:t>
            </w:r>
            <w:r>
              <w:rPr>
                <w:b w:val="0"/>
                <w:spacing w:val="-2"/>
                <w:vertAlign w:val="superscript"/>
              </w:rPr>
              <w:t>th</w:t>
            </w:r>
            <w:r>
              <w:rPr>
                <w:b w:val="0"/>
                <w:spacing w:val="-2"/>
              </w:rPr>
              <w:t xml:space="preserve"> to May 15</w:t>
            </w:r>
            <w:r>
              <w:rPr>
                <w:b w:val="0"/>
                <w:spacing w:val="-2"/>
                <w:vertAlign w:val="superscript"/>
              </w:rPr>
              <w:t>th</w:t>
            </w:r>
            <w:r>
              <w:rPr>
                <w:b w:val="0"/>
                <w:spacing w:val="-2"/>
              </w:rPr>
              <w:t>, 2019.</w:t>
            </w:r>
          </w:p>
          <w:p w14:paraId="12B20067" w14:textId="74B4AF5E" w:rsidR="00E42000" w:rsidRDefault="00E42000" w:rsidP="006044B5">
            <w:pPr>
              <w:pStyle w:val="BodyA"/>
            </w:pPr>
            <w:bookmarkStart w:id="0" w:name="_GoBack"/>
            <w:bookmarkEnd w:id="0"/>
          </w:p>
        </w:tc>
      </w:tr>
      <w:tr w:rsidR="00E42000" w14:paraId="0F9967EB" w14:textId="77777777" w:rsidTr="00224053">
        <w:trPr>
          <w:trHeight w:val="12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2AD8C" w14:textId="789AE5EC" w:rsidR="00E42000" w:rsidRDefault="001464D9">
            <w:pPr>
              <w:pStyle w:val="BodyA"/>
            </w:pPr>
            <w:r>
              <w:rPr>
                <w:b/>
                <w:bCs/>
              </w:rPr>
              <w:lastRenderedPageBreak/>
              <w:t>General Description of Activities of the Organization and/or Meeting: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A7C7" w14:textId="2C7E0D0E" w:rsidR="00E42000" w:rsidRDefault="00EE627B" w:rsidP="00EE627B">
            <w:pPr>
              <w:pStyle w:val="BodyA"/>
            </w:pPr>
            <w:r>
              <w:t xml:space="preserve">Maintenance of IEC Standards </w:t>
            </w:r>
          </w:p>
        </w:tc>
      </w:tr>
      <w:tr w:rsidR="00E42000" w14:paraId="3C0AACAF"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680F" w14:textId="77777777" w:rsidR="00E42000" w:rsidRDefault="001464D9">
            <w:pPr>
              <w:pStyle w:val="BodyA"/>
            </w:pPr>
            <w:r>
              <w:rPr>
                <w:b/>
                <w:bCs/>
              </w:rPr>
              <w:t>Issues for AAPM: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B813" w14:textId="06E312F7" w:rsidR="00E42000" w:rsidRDefault="009D7423">
            <w:pPr>
              <w:pStyle w:val="BodyA"/>
            </w:pPr>
            <w:r>
              <w:t>Responsibility of Medical Physicists to measure and evaluate the performance of the nuclear medicine and PET imaging equipment and compare with IEC standards.</w:t>
            </w:r>
          </w:p>
        </w:tc>
      </w:tr>
      <w:tr w:rsidR="00E42000" w14:paraId="576A4D2A" w14:textId="77777777" w:rsidTr="00224053">
        <w:trPr>
          <w:trHeight w:val="6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921D" w14:textId="77777777" w:rsidR="00E42000" w:rsidRDefault="001464D9">
            <w:pPr>
              <w:pStyle w:val="BodyA"/>
            </w:pPr>
            <w:r>
              <w:rPr>
                <w:b/>
                <w:bCs/>
              </w:rPr>
              <w:t>Budget Request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2287" w14:textId="505B42B4" w:rsidR="00E42000" w:rsidRDefault="009D7423" w:rsidP="001F7C07">
            <w:pPr>
              <w:pStyle w:val="BodyA"/>
            </w:pPr>
            <w:r>
              <w:t>$2000</w:t>
            </w:r>
          </w:p>
        </w:tc>
      </w:tr>
    </w:tbl>
    <w:p w14:paraId="361B68F0" w14:textId="1795FCA8" w:rsidR="00550715" w:rsidRDefault="00550715" w:rsidP="001F7C07">
      <w:pPr>
        <w:rPr>
          <w:b/>
          <w:sz w:val="22"/>
        </w:rPr>
      </w:pPr>
    </w:p>
    <w:sectPr w:rsidR="0055071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7D96" w14:textId="77777777" w:rsidR="00D20F0A" w:rsidRDefault="00D20F0A">
      <w:r>
        <w:separator/>
      </w:r>
    </w:p>
  </w:endnote>
  <w:endnote w:type="continuationSeparator" w:id="0">
    <w:p w14:paraId="1DB003A7" w14:textId="77777777" w:rsidR="00D20F0A" w:rsidRDefault="00D2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03EE" w14:textId="77777777" w:rsidR="00E42000" w:rsidRDefault="001464D9">
    <w:pPr>
      <w:pStyle w:val="BodyA"/>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0D7774">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C9B6" w14:textId="77777777" w:rsidR="00D20F0A" w:rsidRDefault="00D20F0A">
      <w:r>
        <w:separator/>
      </w:r>
    </w:p>
  </w:footnote>
  <w:footnote w:type="continuationSeparator" w:id="0">
    <w:p w14:paraId="58A5C61E" w14:textId="77777777" w:rsidR="00D20F0A" w:rsidRDefault="00D2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389856"/>
    <w:lvl w:ilvl="0" w:tplc="838C2DD4">
      <w:start w:val="1"/>
      <w:numFmt w:val="upperLetter"/>
      <w:lvlText w:val="%1."/>
      <w:lvlJc w:val="left"/>
      <w:pPr>
        <w:ind w:left="289" w:hanging="289"/>
      </w:pPr>
      <w:rPr>
        <w:rFonts w:ascii="Arial" w:eastAsia="Arial Unicode MS" w:hAnsi="Arial" w:hint="default"/>
        <w:b w:val="0"/>
        <w:color w:val="000000"/>
        <w:sz w:val="22"/>
        <w:szCs w:val="22"/>
      </w:rPr>
    </w:lvl>
    <w:lvl w:ilvl="1" w:tplc="67EADB7E">
      <w:start w:val="1"/>
      <w:numFmt w:val="upperLetter"/>
      <w:lvlText w:val="%2."/>
      <w:lvlJc w:val="left"/>
      <w:pPr>
        <w:ind w:left="1289" w:hanging="289"/>
      </w:pPr>
      <w:rPr>
        <w:rFonts w:ascii="Arial" w:eastAsia="Arial Unicode MS" w:hAnsi="Arial" w:hint="default"/>
        <w:b w:val="0"/>
        <w:color w:val="000000"/>
        <w:sz w:val="22"/>
        <w:szCs w:val="22"/>
      </w:rPr>
    </w:lvl>
    <w:lvl w:ilvl="2" w:tplc="2DE03B9E">
      <w:start w:val="1"/>
      <w:numFmt w:val="upperLetter"/>
      <w:lvlText w:val="%3."/>
      <w:lvlJc w:val="left"/>
      <w:pPr>
        <w:ind w:left="2289" w:hanging="289"/>
      </w:pPr>
      <w:rPr>
        <w:rFonts w:ascii="Arial" w:eastAsia="Arial" w:hAnsi="Arial" w:hint="default"/>
        <w:b w:val="0"/>
        <w:color w:val="000000"/>
      </w:rPr>
    </w:lvl>
    <w:lvl w:ilvl="3" w:tplc="69C89F0A">
      <w:start w:val="1"/>
      <w:numFmt w:val="upperLetter"/>
      <w:lvlText w:val="%4."/>
      <w:lvlJc w:val="left"/>
      <w:pPr>
        <w:ind w:left="3289" w:hanging="289"/>
      </w:pPr>
      <w:rPr>
        <w:rFonts w:ascii="Arial" w:eastAsia="Arial" w:hAnsi="Arial" w:hint="default"/>
        <w:b w:val="0"/>
        <w:color w:val="000000"/>
      </w:rPr>
    </w:lvl>
    <w:lvl w:ilvl="4" w:tplc="CB749578">
      <w:start w:val="1"/>
      <w:numFmt w:val="upperLetter"/>
      <w:lvlText w:val="%5."/>
      <w:lvlJc w:val="left"/>
      <w:pPr>
        <w:ind w:left="4289" w:hanging="289"/>
      </w:pPr>
      <w:rPr>
        <w:rFonts w:ascii="Arial" w:eastAsia="Arial" w:hAnsi="Arial" w:hint="default"/>
        <w:b w:val="0"/>
        <w:color w:val="000000"/>
      </w:rPr>
    </w:lvl>
    <w:lvl w:ilvl="5" w:tplc="8C32F16E">
      <w:start w:val="1"/>
      <w:numFmt w:val="upperLetter"/>
      <w:lvlText w:val="%6."/>
      <w:lvlJc w:val="left"/>
      <w:pPr>
        <w:ind w:left="5289" w:hanging="289"/>
      </w:pPr>
      <w:rPr>
        <w:rFonts w:ascii="Arial" w:eastAsia="Arial" w:hAnsi="Arial" w:hint="default"/>
        <w:b w:val="0"/>
        <w:color w:val="000000"/>
      </w:rPr>
    </w:lvl>
    <w:lvl w:ilvl="6" w:tplc="9D26673E">
      <w:start w:val="1"/>
      <w:numFmt w:val="upperLetter"/>
      <w:lvlText w:val="%7."/>
      <w:lvlJc w:val="left"/>
      <w:pPr>
        <w:ind w:left="6289" w:hanging="289"/>
      </w:pPr>
      <w:rPr>
        <w:rFonts w:ascii="Arial" w:eastAsia="Arial" w:hAnsi="Arial" w:hint="default"/>
        <w:b w:val="0"/>
        <w:color w:val="000000"/>
      </w:rPr>
    </w:lvl>
    <w:lvl w:ilvl="7" w:tplc="1E94886E">
      <w:start w:val="1"/>
      <w:numFmt w:val="upperLetter"/>
      <w:lvlText w:val="%8."/>
      <w:lvlJc w:val="left"/>
      <w:pPr>
        <w:ind w:left="7289" w:hanging="289"/>
      </w:pPr>
      <w:rPr>
        <w:rFonts w:ascii="Arial" w:eastAsia="Arial" w:hAnsi="Arial" w:hint="default"/>
        <w:b w:val="0"/>
        <w:color w:val="000000"/>
      </w:rPr>
    </w:lvl>
    <w:lvl w:ilvl="8" w:tplc="5E429142">
      <w:start w:val="1"/>
      <w:numFmt w:val="upperLetter"/>
      <w:lvlText w:val="%9."/>
      <w:lvlJc w:val="left"/>
      <w:pPr>
        <w:ind w:left="8289" w:hanging="289"/>
      </w:pPr>
      <w:rPr>
        <w:rFonts w:ascii="Arial" w:eastAsia="Arial" w:hAnsi="Arial" w:hint="default"/>
        <w:b w:val="0"/>
        <w:color w:val="000000"/>
      </w:rPr>
    </w:lvl>
  </w:abstractNum>
  <w:abstractNum w:abstractNumId="1">
    <w:nsid w:val="002F26EE"/>
    <w:multiLevelType w:val="hybridMultilevel"/>
    <w:tmpl w:val="8850C7E0"/>
    <w:numStyleLink w:val="Dash"/>
  </w:abstractNum>
  <w:abstractNum w:abstractNumId="2">
    <w:nsid w:val="01820A5F"/>
    <w:multiLevelType w:val="hybridMultilevel"/>
    <w:tmpl w:val="22C8C88A"/>
    <w:styleLink w:val="NoteTaking"/>
    <w:lvl w:ilvl="0" w:tplc="E4923ABA">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83DAC">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7041AA">
      <w:start w:val="1"/>
      <w:numFmt w:val="bullet"/>
      <w:lvlText w:val="-"/>
      <w:lvlJc w:val="left"/>
      <w:pPr>
        <w:ind w:left="72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27724">
      <w:start w:val="1"/>
      <w:numFmt w:val="bullet"/>
      <w:lvlText w:val="•"/>
      <w:lvlJc w:val="left"/>
      <w:pPr>
        <w:ind w:left="96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C1978">
      <w:start w:val="1"/>
      <w:numFmt w:val="bullet"/>
      <w:lvlText w:val="-"/>
      <w:lvlJc w:val="left"/>
      <w:pPr>
        <w:ind w:left="120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2ED86E">
      <w:start w:val="1"/>
      <w:numFmt w:val="bullet"/>
      <w:lvlText w:val="•"/>
      <w:lvlJc w:val="left"/>
      <w:pPr>
        <w:ind w:left="14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14ECD6">
      <w:start w:val="1"/>
      <w:numFmt w:val="bullet"/>
      <w:lvlText w:val="-"/>
      <w:lvlJc w:val="left"/>
      <w:pPr>
        <w:ind w:left="168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0C728">
      <w:start w:val="1"/>
      <w:numFmt w:val="bullet"/>
      <w:lvlText w:val="•"/>
      <w:lvlJc w:val="left"/>
      <w:pPr>
        <w:ind w:left="192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44827A">
      <w:start w:val="1"/>
      <w:numFmt w:val="bullet"/>
      <w:lvlText w:val="-"/>
      <w:lvlJc w:val="left"/>
      <w:pPr>
        <w:ind w:left="216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5E4785"/>
    <w:multiLevelType w:val="hybridMultilevel"/>
    <w:tmpl w:val="FCAC1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6070A2"/>
    <w:multiLevelType w:val="hybridMultilevel"/>
    <w:tmpl w:val="22C8C88A"/>
    <w:numStyleLink w:val="NoteTaking"/>
  </w:abstractNum>
  <w:abstractNum w:abstractNumId="5">
    <w:nsid w:val="3CAB22AC"/>
    <w:multiLevelType w:val="hybridMultilevel"/>
    <w:tmpl w:val="CFC65708"/>
    <w:lvl w:ilvl="0" w:tplc="54BC138A">
      <w:start w:val="1"/>
      <w:numFmt w:val="decimal"/>
      <w:lvlText w:val="%1"/>
      <w:lvlJc w:val="left"/>
      <w:pPr>
        <w:ind w:hanging="708"/>
      </w:pPr>
      <w:rPr>
        <w:rFonts w:ascii="Arial" w:eastAsia="Arial" w:hAnsi="Arial" w:hint="default"/>
        <w:b/>
        <w:bCs/>
        <w:sz w:val="22"/>
        <w:szCs w:val="22"/>
      </w:rPr>
    </w:lvl>
    <w:lvl w:ilvl="1" w:tplc="F2903514">
      <w:start w:val="1"/>
      <w:numFmt w:val="bullet"/>
      <w:lvlText w:val="•"/>
      <w:lvlJc w:val="left"/>
      <w:rPr>
        <w:rFonts w:hint="default"/>
      </w:rPr>
    </w:lvl>
    <w:lvl w:ilvl="2" w:tplc="9796D464">
      <w:start w:val="1"/>
      <w:numFmt w:val="bullet"/>
      <w:lvlText w:val="•"/>
      <w:lvlJc w:val="left"/>
      <w:rPr>
        <w:rFonts w:hint="default"/>
      </w:rPr>
    </w:lvl>
    <w:lvl w:ilvl="3" w:tplc="8674754A">
      <w:start w:val="1"/>
      <w:numFmt w:val="bullet"/>
      <w:lvlText w:val="•"/>
      <w:lvlJc w:val="left"/>
      <w:rPr>
        <w:rFonts w:hint="default"/>
      </w:rPr>
    </w:lvl>
    <w:lvl w:ilvl="4" w:tplc="15ACBEAC">
      <w:start w:val="1"/>
      <w:numFmt w:val="bullet"/>
      <w:lvlText w:val="•"/>
      <w:lvlJc w:val="left"/>
      <w:rPr>
        <w:rFonts w:hint="default"/>
      </w:rPr>
    </w:lvl>
    <w:lvl w:ilvl="5" w:tplc="800CE820">
      <w:start w:val="1"/>
      <w:numFmt w:val="bullet"/>
      <w:lvlText w:val="•"/>
      <w:lvlJc w:val="left"/>
      <w:rPr>
        <w:rFonts w:hint="default"/>
      </w:rPr>
    </w:lvl>
    <w:lvl w:ilvl="6" w:tplc="D51E60CE">
      <w:start w:val="1"/>
      <w:numFmt w:val="bullet"/>
      <w:lvlText w:val="•"/>
      <w:lvlJc w:val="left"/>
      <w:rPr>
        <w:rFonts w:hint="default"/>
      </w:rPr>
    </w:lvl>
    <w:lvl w:ilvl="7" w:tplc="2C529F50">
      <w:start w:val="1"/>
      <w:numFmt w:val="bullet"/>
      <w:lvlText w:val="•"/>
      <w:lvlJc w:val="left"/>
      <w:rPr>
        <w:rFonts w:hint="default"/>
      </w:rPr>
    </w:lvl>
    <w:lvl w:ilvl="8" w:tplc="5E8218C0">
      <w:start w:val="1"/>
      <w:numFmt w:val="bullet"/>
      <w:lvlText w:val="•"/>
      <w:lvlJc w:val="left"/>
      <w:rPr>
        <w:rFonts w:hint="default"/>
      </w:rPr>
    </w:lvl>
  </w:abstractNum>
  <w:abstractNum w:abstractNumId="6">
    <w:nsid w:val="4F0F2F22"/>
    <w:multiLevelType w:val="hybridMultilevel"/>
    <w:tmpl w:val="1DE65738"/>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
    <w:nsid w:val="53B21965"/>
    <w:multiLevelType w:val="hybridMultilevel"/>
    <w:tmpl w:val="E8F6D7B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5725001A"/>
    <w:multiLevelType w:val="hybridMultilevel"/>
    <w:tmpl w:val="1DE6573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5D23575F"/>
    <w:multiLevelType w:val="hybridMultilevel"/>
    <w:tmpl w:val="04390335"/>
    <w:lvl w:ilvl="0" w:tplc="477251C0">
      <w:start w:val="1"/>
      <w:numFmt w:val="decimal"/>
      <w:lvlText w:val="%1)"/>
      <w:lvlJc w:val="left"/>
      <w:pPr>
        <w:ind w:left="426" w:hanging="426"/>
      </w:pPr>
      <w:rPr>
        <w:rFonts w:ascii="Arial" w:eastAsia="Arial" w:hAnsi="Arial" w:hint="default"/>
        <w:b w:val="0"/>
        <w:color w:val="000000"/>
        <w:sz w:val="22"/>
        <w:szCs w:val="22"/>
      </w:rPr>
    </w:lvl>
    <w:lvl w:ilvl="1" w:tplc="8DF0BF0C">
      <w:start w:val="1"/>
      <w:numFmt w:val="lowerLetter"/>
      <w:lvlText w:val="%2."/>
      <w:lvlJc w:val="left"/>
      <w:pPr>
        <w:ind w:left="936" w:hanging="216"/>
      </w:pPr>
      <w:rPr>
        <w:rFonts w:ascii="Arial" w:eastAsia="Arial" w:hAnsi="Arial" w:hint="default"/>
        <w:b w:val="0"/>
        <w:color w:val="000000"/>
      </w:rPr>
    </w:lvl>
    <w:lvl w:ilvl="2" w:tplc="CA72F51C">
      <w:start w:val="1"/>
      <w:numFmt w:val="lowerRoman"/>
      <w:lvlText w:val="%3."/>
      <w:lvlJc w:val="left"/>
      <w:pPr>
        <w:ind w:left="1656" w:hanging="132"/>
      </w:pPr>
      <w:rPr>
        <w:rFonts w:ascii="Arial" w:eastAsia="Arial" w:hAnsi="Arial" w:hint="default"/>
        <w:b w:val="0"/>
        <w:color w:val="000000"/>
      </w:rPr>
    </w:lvl>
    <w:lvl w:ilvl="3" w:tplc="DF2AE936">
      <w:start w:val="1"/>
      <w:numFmt w:val="decimal"/>
      <w:lvlText w:val="%4."/>
      <w:lvlJc w:val="left"/>
      <w:pPr>
        <w:ind w:left="2376" w:hanging="216"/>
      </w:pPr>
      <w:rPr>
        <w:rFonts w:ascii="Arial" w:eastAsia="Arial" w:hAnsi="Arial" w:hint="default"/>
        <w:b w:val="0"/>
        <w:color w:val="000000"/>
      </w:rPr>
    </w:lvl>
    <w:lvl w:ilvl="4" w:tplc="6B8C5E52">
      <w:start w:val="1"/>
      <w:numFmt w:val="lowerLetter"/>
      <w:lvlText w:val="%5."/>
      <w:lvlJc w:val="left"/>
      <w:pPr>
        <w:ind w:left="3096" w:hanging="216"/>
      </w:pPr>
      <w:rPr>
        <w:rFonts w:ascii="Arial" w:eastAsia="Arial" w:hAnsi="Arial" w:hint="default"/>
        <w:b w:val="0"/>
        <w:color w:val="000000"/>
      </w:rPr>
    </w:lvl>
    <w:lvl w:ilvl="5" w:tplc="FACAE49A">
      <w:start w:val="1"/>
      <w:numFmt w:val="lowerRoman"/>
      <w:lvlText w:val="%6."/>
      <w:lvlJc w:val="left"/>
      <w:pPr>
        <w:ind w:left="3816" w:hanging="132"/>
      </w:pPr>
      <w:rPr>
        <w:rFonts w:ascii="Arial" w:eastAsia="Arial" w:hAnsi="Arial" w:hint="default"/>
        <w:b w:val="0"/>
        <w:color w:val="000000"/>
      </w:rPr>
    </w:lvl>
    <w:lvl w:ilvl="6" w:tplc="8D12699C">
      <w:start w:val="1"/>
      <w:numFmt w:val="decimal"/>
      <w:lvlText w:val="%7."/>
      <w:lvlJc w:val="left"/>
      <w:pPr>
        <w:ind w:left="4536" w:hanging="216"/>
      </w:pPr>
      <w:rPr>
        <w:rFonts w:ascii="Arial" w:eastAsia="Arial" w:hAnsi="Arial" w:hint="default"/>
        <w:b w:val="0"/>
        <w:color w:val="000000"/>
      </w:rPr>
    </w:lvl>
    <w:lvl w:ilvl="7" w:tplc="120E039E">
      <w:start w:val="1"/>
      <w:numFmt w:val="lowerLetter"/>
      <w:lvlText w:val="%8."/>
      <w:lvlJc w:val="left"/>
      <w:pPr>
        <w:ind w:left="5256" w:hanging="216"/>
      </w:pPr>
      <w:rPr>
        <w:rFonts w:ascii="Arial" w:eastAsia="Arial" w:hAnsi="Arial" w:hint="default"/>
        <w:b w:val="0"/>
        <w:color w:val="000000"/>
      </w:rPr>
    </w:lvl>
    <w:lvl w:ilvl="8" w:tplc="05529CBE">
      <w:start w:val="1"/>
      <w:numFmt w:val="lowerRoman"/>
      <w:lvlText w:val="%9."/>
      <w:lvlJc w:val="left"/>
      <w:pPr>
        <w:ind w:left="5976" w:hanging="132"/>
      </w:pPr>
      <w:rPr>
        <w:rFonts w:ascii="Arial" w:eastAsia="Arial" w:hAnsi="Arial" w:hint="default"/>
        <w:b w:val="0"/>
        <w:color w:val="000000"/>
      </w:rPr>
    </w:lvl>
  </w:abstractNum>
  <w:abstractNum w:abstractNumId="10">
    <w:nsid w:val="66D37EB8"/>
    <w:multiLevelType w:val="hybridMultilevel"/>
    <w:tmpl w:val="2EEC6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EA3454"/>
    <w:multiLevelType w:val="hybridMultilevel"/>
    <w:tmpl w:val="865A9922"/>
    <w:lvl w:ilvl="0" w:tplc="08782256">
      <w:numFmt w:val="bullet"/>
      <w:lvlText w:val="-"/>
      <w:lvlJc w:val="left"/>
      <w:pPr>
        <w:ind w:left="479" w:hanging="360"/>
      </w:pPr>
      <w:rPr>
        <w:rFonts w:ascii="Arial" w:eastAsia="Arial" w:hAnsi="Arial" w:cs="Arial" w:hint="default"/>
      </w:rPr>
    </w:lvl>
    <w:lvl w:ilvl="1" w:tplc="04090003">
      <w:start w:val="1"/>
      <w:numFmt w:val="bullet"/>
      <w:lvlText w:val="o"/>
      <w:lvlJc w:val="left"/>
      <w:pPr>
        <w:ind w:left="1199" w:hanging="360"/>
      </w:pPr>
      <w:rPr>
        <w:rFonts w:ascii="Courier New" w:hAnsi="Courier New" w:cs="Courier New" w:hint="default"/>
      </w:rPr>
    </w:lvl>
    <w:lvl w:ilvl="2" w:tplc="04090005">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2">
    <w:nsid w:val="6C653309"/>
    <w:multiLevelType w:val="hybridMultilevel"/>
    <w:tmpl w:val="FBA4683C"/>
    <w:lvl w:ilvl="0" w:tplc="EBC228B4">
      <w:numFmt w:val="bullet"/>
      <w:lvlText w:val="-"/>
      <w:lvlJc w:val="left"/>
      <w:pPr>
        <w:ind w:left="479" w:hanging="360"/>
      </w:pPr>
      <w:rPr>
        <w:rFonts w:ascii="Arial" w:eastAsia="Arial" w:hAnsi="Arial" w:cs="Arial" w:hint="default"/>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3">
    <w:nsid w:val="749963E1"/>
    <w:multiLevelType w:val="hybridMultilevel"/>
    <w:tmpl w:val="F42C06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768818F2"/>
    <w:multiLevelType w:val="hybridMultilevel"/>
    <w:tmpl w:val="8850C7E0"/>
    <w:styleLink w:val="Dash"/>
    <w:lvl w:ilvl="0" w:tplc="512A4AE8">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2E54E8">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5EB91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26C3A8">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76CF98">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24B8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8F078">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4087E6">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C413C">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4"/>
  </w:num>
  <w:num w:numId="3">
    <w:abstractNumId w:val="14"/>
  </w:num>
  <w:num w:numId="4">
    <w:abstractNumId w:val="1"/>
  </w:num>
  <w:num w:numId="5">
    <w:abstractNumId w:val="9"/>
  </w:num>
  <w:num w:numId="6">
    <w:abstractNumId w:val="0"/>
  </w:num>
  <w:num w:numId="7">
    <w:abstractNumId w:val="8"/>
  </w:num>
  <w:num w:numId="8">
    <w:abstractNumId w:val="10"/>
  </w:num>
  <w:num w:numId="9">
    <w:abstractNumId w:val="6"/>
  </w:num>
  <w:num w:numId="10">
    <w:abstractNumId w:val="7"/>
  </w:num>
  <w:num w:numId="11">
    <w:abstractNumId w:val="13"/>
  </w:num>
  <w:num w:numId="12">
    <w:abstractNumId w:val="3"/>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00"/>
    <w:rsid w:val="00000B49"/>
    <w:rsid w:val="000D7774"/>
    <w:rsid w:val="001464D9"/>
    <w:rsid w:val="00166E90"/>
    <w:rsid w:val="001D1EA3"/>
    <w:rsid w:val="001F7C07"/>
    <w:rsid w:val="00224053"/>
    <w:rsid w:val="003040C9"/>
    <w:rsid w:val="00380E51"/>
    <w:rsid w:val="00437252"/>
    <w:rsid w:val="004A2080"/>
    <w:rsid w:val="00550715"/>
    <w:rsid w:val="006044B5"/>
    <w:rsid w:val="006142B9"/>
    <w:rsid w:val="0067421B"/>
    <w:rsid w:val="006802BC"/>
    <w:rsid w:val="007713BC"/>
    <w:rsid w:val="007A5710"/>
    <w:rsid w:val="007B6F63"/>
    <w:rsid w:val="00906B39"/>
    <w:rsid w:val="009D7423"/>
    <w:rsid w:val="00A14234"/>
    <w:rsid w:val="00BF0CAC"/>
    <w:rsid w:val="00D20F0A"/>
    <w:rsid w:val="00E42000"/>
    <w:rsid w:val="00E77861"/>
    <w:rsid w:val="00EE627B"/>
    <w:rsid w:val="00FB0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EE62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28"/>
      <w:sz w:val="20"/>
      <w:szCs w:val="20"/>
      <w:bdr w:val="none" w:sz="0" w:space="0" w:color="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Batang"/>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Batang"/>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Batang"/>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Batang"/>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Batang"/>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Batang"/>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Batang"/>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Batang"/>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Batang"/>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 w:type="character" w:customStyle="1" w:styleId="apple-converted-space">
    <w:name w:val="apple-converted-space"/>
    <w:basedOn w:val="DefaultParagraphFont"/>
    <w:rsid w:val="00550715"/>
  </w:style>
  <w:style w:type="character" w:customStyle="1" w:styleId="Heading1Char">
    <w:name w:val="Heading 1 Char"/>
    <w:basedOn w:val="DefaultParagraphFont"/>
    <w:link w:val="Heading1"/>
    <w:rsid w:val="00EE627B"/>
    <w:rPr>
      <w:rFonts w:ascii="Arial" w:eastAsia="Times New Roman" w:hAnsi="Arial" w:cs="Arial"/>
      <w:b/>
      <w:bCs/>
      <w:kern w:val="28"/>
      <w:bdr w:val="none" w:sz="0" w:space="0" w:color="auto"/>
      <w:lang w:val="en-GB" w:eastAsia="zh-CN"/>
    </w:rPr>
  </w:style>
  <w:style w:type="paragraph" w:styleId="BodyText">
    <w:name w:val="Body Text"/>
    <w:basedOn w:val="Normal"/>
    <w:link w:val="BodyTextChar"/>
    <w:uiPriority w:val="1"/>
    <w:qFormat/>
    <w:rsid w:val="007B6F6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9"/>
    </w:pPr>
    <w:rPr>
      <w:rFonts w:ascii="Arial" w:eastAsia="Arial" w:hAnsi="Arial"/>
      <w:sz w:val="22"/>
      <w:szCs w:val="22"/>
      <w:bdr w:val="none" w:sz="0" w:space="0" w:color="auto"/>
    </w:rPr>
  </w:style>
  <w:style w:type="character" w:customStyle="1" w:styleId="BodyTextChar">
    <w:name w:val="Body Text Char"/>
    <w:basedOn w:val="DefaultParagraphFont"/>
    <w:link w:val="BodyText"/>
    <w:uiPriority w:val="1"/>
    <w:rsid w:val="007B6F63"/>
    <w:rPr>
      <w:rFonts w:ascii="Arial" w:eastAsia="Arial" w:hAnsi="Arial"/>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EE62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28"/>
      <w:sz w:val="20"/>
      <w:szCs w:val="20"/>
      <w:bdr w:val="none" w:sz="0" w:space="0" w:color="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Batang"/>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Batang"/>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Batang"/>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Batang"/>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Batang"/>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Batang"/>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Batang"/>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Batang"/>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Batang"/>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 w:type="character" w:customStyle="1" w:styleId="apple-converted-space">
    <w:name w:val="apple-converted-space"/>
    <w:basedOn w:val="DefaultParagraphFont"/>
    <w:rsid w:val="00550715"/>
  </w:style>
  <w:style w:type="character" w:customStyle="1" w:styleId="Heading1Char">
    <w:name w:val="Heading 1 Char"/>
    <w:basedOn w:val="DefaultParagraphFont"/>
    <w:link w:val="Heading1"/>
    <w:rsid w:val="00EE627B"/>
    <w:rPr>
      <w:rFonts w:ascii="Arial" w:eastAsia="Times New Roman" w:hAnsi="Arial" w:cs="Arial"/>
      <w:b/>
      <w:bCs/>
      <w:kern w:val="28"/>
      <w:bdr w:val="none" w:sz="0" w:space="0" w:color="auto"/>
      <w:lang w:val="en-GB" w:eastAsia="zh-CN"/>
    </w:rPr>
  </w:style>
  <w:style w:type="paragraph" w:styleId="BodyText">
    <w:name w:val="Body Text"/>
    <w:basedOn w:val="Normal"/>
    <w:link w:val="BodyTextChar"/>
    <w:uiPriority w:val="1"/>
    <w:qFormat/>
    <w:rsid w:val="007B6F6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9"/>
    </w:pPr>
    <w:rPr>
      <w:rFonts w:ascii="Arial" w:eastAsia="Arial" w:hAnsi="Arial"/>
      <w:sz w:val="22"/>
      <w:szCs w:val="22"/>
      <w:bdr w:val="none" w:sz="0" w:space="0" w:color="auto"/>
    </w:rPr>
  </w:style>
  <w:style w:type="character" w:customStyle="1" w:styleId="BodyTextChar">
    <w:name w:val="Body Text Char"/>
    <w:basedOn w:val="DefaultParagraphFont"/>
    <w:link w:val="BodyText"/>
    <w:uiPriority w:val="1"/>
    <w:rsid w:val="007B6F63"/>
    <w:rPr>
      <w:rFonts w:ascii="Arial" w:eastAsia="Arial" w:hAnsi="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MDACC</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McCollough, Cynthia H., Ph.D.</dc:creator>
  <cp:lastModifiedBy>Loyola Medicine</cp:lastModifiedBy>
  <cp:revision>5</cp:revision>
  <dcterms:created xsi:type="dcterms:W3CDTF">2018-05-16T18:56:00Z</dcterms:created>
  <dcterms:modified xsi:type="dcterms:W3CDTF">2018-05-16T20:03:00Z</dcterms:modified>
</cp:coreProperties>
</file>